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09C0" w14:textId="77777777" w:rsidR="00B868EC" w:rsidRDefault="00B868EC" w:rsidP="00B868EC">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pPr>
    </w:p>
    <w:p w14:paraId="42FA50C4" w14:textId="4E13CCF7" w:rsidR="00C852C1" w:rsidRDefault="00881352" w:rsidP="00B868EC">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pPr>
      <w:r w:rsidRPr="0081360E">
        <w:rPr>
          <w:rFonts w:ascii="Times New Roman" w:hAnsi="Times New Roman" w:cs="Times New Roman"/>
          <w:b/>
          <w:bCs/>
        </w:rPr>
        <w:t>Complément de signalement au Procureur de la CPI</w:t>
      </w:r>
    </w:p>
    <w:p w14:paraId="57AAA2E4" w14:textId="77777777" w:rsidR="00B868EC" w:rsidRPr="0081360E" w:rsidRDefault="00B868EC" w:rsidP="00B868EC">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bCs/>
        </w:rPr>
      </w:pPr>
    </w:p>
    <w:p w14:paraId="5C6E41DF" w14:textId="77777777" w:rsidR="00774A66" w:rsidRDefault="00774A66" w:rsidP="00774A66">
      <w:pPr>
        <w:spacing w:after="0"/>
        <w:jc w:val="both"/>
        <w:rPr>
          <w:rFonts w:ascii="Times New Roman" w:hAnsi="Times New Roman" w:cs="Times New Roman"/>
        </w:rPr>
      </w:pPr>
    </w:p>
    <w:p w14:paraId="003FDAFA" w14:textId="77777777" w:rsidR="00D10C6B" w:rsidRDefault="00D10C6B" w:rsidP="00774A66">
      <w:pPr>
        <w:spacing w:after="0"/>
        <w:jc w:val="both"/>
        <w:rPr>
          <w:rFonts w:ascii="Times New Roman" w:hAnsi="Times New Roman" w:cs="Times New Roman"/>
        </w:rPr>
      </w:pPr>
    </w:p>
    <w:p w14:paraId="2958CDFF" w14:textId="5069A88F" w:rsidR="00B868EC" w:rsidRDefault="00B868EC" w:rsidP="00774A66">
      <w:pPr>
        <w:spacing w:after="0"/>
        <w:jc w:val="both"/>
        <w:rPr>
          <w:rFonts w:ascii="Times New Roman" w:hAnsi="Times New Roman" w:cs="Times New Roman"/>
        </w:rPr>
      </w:pPr>
      <w:r w:rsidRPr="00B868EC">
        <w:rPr>
          <w:rFonts w:ascii="Times New Roman" w:hAnsi="Times New Roman" w:cs="Times New Roman"/>
          <w:b/>
          <w:bCs/>
        </w:rPr>
        <w:t>1. Présentation du plaignant et de la victime représentée</w:t>
      </w:r>
    </w:p>
    <w:p w14:paraId="06272CA6" w14:textId="77777777" w:rsidR="00B868EC" w:rsidRPr="00D46450" w:rsidRDefault="00B868EC" w:rsidP="00774A66">
      <w:pPr>
        <w:spacing w:after="0"/>
        <w:jc w:val="both"/>
        <w:rPr>
          <w:rFonts w:ascii="Times New Roman" w:hAnsi="Times New Roman" w:cs="Times New Roman"/>
        </w:rPr>
      </w:pPr>
    </w:p>
    <w:p w14:paraId="05685C3A" w14:textId="56EF72C0" w:rsidR="00D46450" w:rsidRPr="00D46450" w:rsidRDefault="00D46450" w:rsidP="00D46450">
      <w:pPr>
        <w:suppressAutoHyphens/>
        <w:autoSpaceDN w:val="0"/>
        <w:spacing w:after="0" w:line="276" w:lineRule="auto"/>
        <w:ind w:firstLine="708"/>
        <w:jc w:val="both"/>
        <w:rPr>
          <w:rFonts w:ascii="Times New Roman" w:eastAsia="Calibri" w:hAnsi="Times New Roman" w:cs="Times New Roman"/>
          <w:color w:val="000000"/>
          <w:kern w:val="0"/>
          <w14:ligatures w14:val="none"/>
        </w:rPr>
      </w:pPr>
      <w:r w:rsidRPr="00D46450">
        <w:rPr>
          <w:rFonts w:ascii="Times New Roman" w:eastAsia="Calibri" w:hAnsi="Times New Roman" w:cs="Times New Roman"/>
          <w:color w:val="000000"/>
          <w:kern w:val="0"/>
          <w14:ligatures w14:val="none"/>
        </w:rPr>
        <w:t>L</w:t>
      </w:r>
      <w:r w:rsidR="00175491">
        <w:rPr>
          <w:rFonts w:ascii="Times New Roman" w:eastAsia="Calibri" w:hAnsi="Times New Roman" w:cs="Times New Roman"/>
          <w:color w:val="000000"/>
          <w:kern w:val="0"/>
          <w14:ligatures w14:val="none"/>
        </w:rPr>
        <w:t>’auteur du signalement au Procureur de la Cour pénale international</w:t>
      </w:r>
      <w:r w:rsidRPr="00D46450">
        <w:rPr>
          <w:rFonts w:ascii="Times New Roman" w:eastAsia="Calibri" w:hAnsi="Times New Roman" w:cs="Times New Roman"/>
          <w:color w:val="000000"/>
          <w:kern w:val="0"/>
          <w14:ligatures w14:val="none"/>
        </w:rPr>
        <w:t xml:space="preserve">e est Maître Mounir BAATOUR, avocat au barreau de Marseille, agissant en sa qualité de conseil de l’Association Tunisienne </w:t>
      </w:r>
      <w:proofErr w:type="spellStart"/>
      <w:r w:rsidRPr="00D46450">
        <w:rPr>
          <w:rFonts w:ascii="Times New Roman" w:eastAsia="Calibri" w:hAnsi="Times New Roman" w:cs="Times New Roman"/>
          <w:color w:val="000000"/>
          <w:kern w:val="0"/>
          <w14:ligatures w14:val="none"/>
        </w:rPr>
        <w:t>Shams</w:t>
      </w:r>
      <w:proofErr w:type="spellEnd"/>
      <w:r w:rsidRPr="00D46450">
        <w:rPr>
          <w:rFonts w:ascii="Times New Roman" w:eastAsia="Calibri" w:hAnsi="Times New Roman" w:cs="Times New Roman"/>
          <w:color w:val="000000"/>
          <w:kern w:val="0"/>
          <w14:ligatures w14:val="none"/>
        </w:rPr>
        <w:t>, organisation non gouvernementale tunisienne légalement constituée et engagée dans la défense des droits humains, notamment ceux des personnes lesbiennes, gays, bisexuelles, transgenres et queer (LGBTQ+).</w:t>
      </w:r>
    </w:p>
    <w:p w14:paraId="67EA0094" w14:textId="77777777" w:rsidR="00D10C6B" w:rsidRDefault="00D10C6B" w:rsidP="00774A66">
      <w:pPr>
        <w:spacing w:after="0"/>
        <w:jc w:val="both"/>
        <w:rPr>
          <w:rFonts w:ascii="Times New Roman" w:hAnsi="Times New Roman" w:cs="Times New Roman"/>
        </w:rPr>
      </w:pPr>
    </w:p>
    <w:p w14:paraId="799478F2" w14:textId="79D89C9D" w:rsidR="004D5160" w:rsidRDefault="004D5160" w:rsidP="00774A66">
      <w:pPr>
        <w:spacing w:after="0"/>
        <w:jc w:val="both"/>
        <w:rPr>
          <w:rFonts w:ascii="Times New Roman" w:hAnsi="Times New Roman" w:cs="Times New Roman"/>
        </w:rPr>
      </w:pPr>
      <w:r w:rsidRPr="004D5160">
        <w:rPr>
          <w:rFonts w:ascii="Times New Roman" w:hAnsi="Times New Roman" w:cs="Times New Roman"/>
        </w:rPr>
        <w:t xml:space="preserve">Ce complément de communication vise à étayer la première transmission effectuée par Maître Mounir BAATOUR auprès du Bureau du Procureur de la Cour pénale internationale. Cette communication initiale dénonçait </w:t>
      </w:r>
      <w:r w:rsidR="008A23AD" w:rsidRPr="008A23AD">
        <w:rPr>
          <w:rFonts w:ascii="Times New Roman" w:hAnsi="Times New Roman" w:cs="Times New Roman"/>
        </w:rPr>
        <w:t>des actes de persécution, de torture, d’atteinte grave à la dignité humaine, de détention arbitraire, de harcèlement institutionnel et de discrimination systémique commis à l’encontre de la communauté LGBTQ+ en Tunisie, dans un contexte de politique d’État coordonnée</w:t>
      </w:r>
      <w:r w:rsidR="007C6579">
        <w:rPr>
          <w:rFonts w:ascii="Times New Roman" w:hAnsi="Times New Roman" w:cs="Times New Roman"/>
        </w:rPr>
        <w:t>, constitutif d’un crime contre l’humanité</w:t>
      </w:r>
      <w:r w:rsidR="00C6455D">
        <w:rPr>
          <w:rFonts w:ascii="Times New Roman" w:hAnsi="Times New Roman" w:cs="Times New Roman"/>
        </w:rPr>
        <w:t xml:space="preserve"> consacré à l’article 7 du Statut de Rome</w:t>
      </w:r>
      <w:r w:rsidRPr="004D5160">
        <w:rPr>
          <w:rFonts w:ascii="Times New Roman" w:hAnsi="Times New Roman" w:cs="Times New Roman"/>
        </w:rPr>
        <w:t xml:space="preserve">. De tels faits relèvent de la compétence matérielle, personnelle et territoriale de la Cour au </w:t>
      </w:r>
      <w:r w:rsidR="001B0D37">
        <w:rPr>
          <w:rFonts w:ascii="Times New Roman" w:hAnsi="Times New Roman" w:cs="Times New Roman"/>
        </w:rPr>
        <w:t>s</w:t>
      </w:r>
      <w:r w:rsidRPr="004D5160">
        <w:rPr>
          <w:rFonts w:ascii="Times New Roman" w:hAnsi="Times New Roman" w:cs="Times New Roman"/>
        </w:rPr>
        <w:t>ens du Statut.</w:t>
      </w:r>
    </w:p>
    <w:p w14:paraId="639E5AA6" w14:textId="77777777" w:rsidR="004D5160" w:rsidRDefault="004D5160" w:rsidP="00774A66">
      <w:pPr>
        <w:spacing w:after="0"/>
        <w:jc w:val="both"/>
        <w:rPr>
          <w:rFonts w:ascii="Times New Roman" w:hAnsi="Times New Roman" w:cs="Times New Roman"/>
        </w:rPr>
      </w:pPr>
    </w:p>
    <w:p w14:paraId="5A501F3A" w14:textId="442504D4" w:rsidR="001B0D37" w:rsidRPr="001B0D37" w:rsidRDefault="001B0D37" w:rsidP="00774A66">
      <w:pPr>
        <w:spacing w:after="0"/>
        <w:jc w:val="both"/>
        <w:rPr>
          <w:rFonts w:ascii="Times New Roman" w:hAnsi="Times New Roman" w:cs="Times New Roman"/>
        </w:rPr>
      </w:pPr>
      <w:r w:rsidRPr="001B0D37">
        <w:rPr>
          <w:rFonts w:ascii="Times New Roman" w:hAnsi="Times New Roman" w:cs="Times New Roman"/>
        </w:rPr>
        <w:t>Ce complément de signalement vise</w:t>
      </w:r>
      <w:r>
        <w:rPr>
          <w:rFonts w:ascii="Times New Roman" w:hAnsi="Times New Roman" w:cs="Times New Roman"/>
        </w:rPr>
        <w:t xml:space="preserve"> à </w:t>
      </w:r>
      <w:r w:rsidRPr="001B0D37">
        <w:rPr>
          <w:rFonts w:ascii="Times New Roman" w:hAnsi="Times New Roman" w:cs="Times New Roman"/>
        </w:rPr>
        <w:t xml:space="preserve">dénoncer </w:t>
      </w:r>
      <w:r w:rsidRPr="001B0D37">
        <w:rPr>
          <w:rFonts w:ascii="Times New Roman" w:hAnsi="Times New Roman" w:cs="Times New Roman"/>
          <w:color w:val="000000" w:themeColor="text1"/>
        </w:rPr>
        <w:t>le recours systématique aux examens anaux forcés imposés à des personnes présumées homosexuelles, constituant une violation flagrante de l’interdiction de la torture ainsi que des traitements cruels, inhumains ou dégradants.</w:t>
      </w:r>
    </w:p>
    <w:p w14:paraId="57B0B309" w14:textId="77777777" w:rsidR="004D5160" w:rsidRDefault="004D5160" w:rsidP="00774A66">
      <w:pPr>
        <w:spacing w:after="0"/>
        <w:jc w:val="both"/>
        <w:rPr>
          <w:rFonts w:ascii="Times New Roman" w:hAnsi="Times New Roman" w:cs="Times New Roman"/>
        </w:rPr>
      </w:pPr>
    </w:p>
    <w:p w14:paraId="03D88C24" w14:textId="6B29A70E" w:rsidR="00DA2ACB" w:rsidRPr="00DA2ACB" w:rsidRDefault="00DD183B" w:rsidP="00DA2ACB">
      <w:pPr>
        <w:spacing w:after="0"/>
        <w:jc w:val="both"/>
        <w:rPr>
          <w:rFonts w:ascii="Arial" w:eastAsia="Calibri" w:hAnsi="Arial" w:cs="Arial"/>
          <w:color w:val="000000"/>
          <w:kern w:val="0"/>
          <w14:ligatures w14:val="none"/>
        </w:rPr>
      </w:pPr>
      <w:r>
        <w:rPr>
          <w:rFonts w:ascii="Times New Roman" w:hAnsi="Times New Roman" w:cs="Times New Roman"/>
        </w:rPr>
        <w:t xml:space="preserve">La présente communication </w:t>
      </w:r>
      <w:r w:rsidR="00DA2ACB">
        <w:rPr>
          <w:rFonts w:ascii="Times New Roman" w:hAnsi="Times New Roman" w:cs="Times New Roman"/>
        </w:rPr>
        <w:t xml:space="preserve">vise notamment le président en exercice de la République tunisienne, </w:t>
      </w:r>
      <w:r w:rsidR="00DA2ACB" w:rsidRPr="00DA2ACB">
        <w:rPr>
          <w:rFonts w:ascii="Times New Roman" w:hAnsi="Times New Roman" w:cs="Times New Roman"/>
        </w:rPr>
        <w:t xml:space="preserve">Monsieur Kaïs </w:t>
      </w:r>
      <w:proofErr w:type="spellStart"/>
      <w:r w:rsidR="00DA2ACB" w:rsidRPr="00DA2ACB">
        <w:rPr>
          <w:rFonts w:ascii="Times New Roman" w:hAnsi="Times New Roman" w:cs="Times New Roman"/>
        </w:rPr>
        <w:t>Saïed</w:t>
      </w:r>
      <w:proofErr w:type="spellEnd"/>
      <w:r w:rsidR="00DA2ACB">
        <w:rPr>
          <w:rFonts w:ascii="Times New Roman" w:hAnsi="Times New Roman" w:cs="Times New Roman"/>
        </w:rPr>
        <w:t xml:space="preserve">, en sa qualité de chef de </w:t>
      </w:r>
      <w:r w:rsidR="00DA2ACB" w:rsidRPr="00DA2ACB">
        <w:rPr>
          <w:rFonts w:ascii="Times New Roman" w:hAnsi="Times New Roman" w:cs="Times New Roman"/>
        </w:rPr>
        <w:t>l’État et d’autorité exerçant le contrôle effectif sur les forces de police, les autorités judiciaires</w:t>
      </w:r>
      <w:r w:rsidR="00C6455D">
        <w:rPr>
          <w:rFonts w:ascii="Times New Roman" w:hAnsi="Times New Roman" w:cs="Times New Roman"/>
        </w:rPr>
        <w:t xml:space="preserve">, les médecins légistes </w:t>
      </w:r>
      <w:r w:rsidR="00DA2ACB" w:rsidRPr="00DA2ACB">
        <w:rPr>
          <w:rFonts w:ascii="Times New Roman" w:hAnsi="Times New Roman" w:cs="Times New Roman"/>
        </w:rPr>
        <w:t>et les structures répressives ayant mené ou autorisé les actes constitutifs de crimes contre l’humanité.</w:t>
      </w:r>
      <w:r w:rsidR="00DA2ACB">
        <w:rPr>
          <w:rFonts w:ascii="Times New Roman" w:hAnsi="Times New Roman" w:cs="Times New Roman"/>
        </w:rPr>
        <w:t xml:space="preserve"> </w:t>
      </w:r>
      <w:r>
        <w:rPr>
          <w:rFonts w:ascii="Times New Roman" w:hAnsi="Times New Roman" w:cs="Times New Roman"/>
        </w:rPr>
        <w:t xml:space="preserve">Elle </w:t>
      </w:r>
      <w:r w:rsidR="00DA2ACB">
        <w:rPr>
          <w:rFonts w:ascii="Times New Roman" w:hAnsi="Times New Roman" w:cs="Times New Roman"/>
        </w:rPr>
        <w:t xml:space="preserve">vise </w:t>
      </w:r>
      <w:r w:rsidR="00DA2ACB" w:rsidRPr="00DA2ACB">
        <w:rPr>
          <w:rFonts w:ascii="Times New Roman" w:hAnsi="Times New Roman" w:cs="Times New Roman"/>
        </w:rPr>
        <w:t xml:space="preserve">également </w:t>
      </w:r>
      <w:r w:rsidR="001B1115">
        <w:rPr>
          <w:rFonts w:ascii="Times New Roman" w:eastAsia="Calibri" w:hAnsi="Times New Roman" w:cs="Times New Roman"/>
          <w:color w:val="000000"/>
          <w:kern w:val="0"/>
          <w14:ligatures w14:val="none"/>
        </w:rPr>
        <w:t>le</w:t>
      </w:r>
      <w:r w:rsidR="00DA2ACB" w:rsidRPr="00DA2ACB">
        <w:rPr>
          <w:rFonts w:ascii="Times New Roman" w:eastAsia="Calibri" w:hAnsi="Times New Roman" w:cs="Times New Roman"/>
          <w:color w:val="000000"/>
          <w:kern w:val="0"/>
          <w14:ligatures w14:val="none"/>
        </w:rPr>
        <w:t>s principaux médecins identifiés comme ayant régulièrement pratiqué ces examens anaux forcés dans le cadre de procédures judiciaires</w:t>
      </w:r>
      <w:r w:rsidR="001B1115">
        <w:rPr>
          <w:rFonts w:ascii="Times New Roman" w:eastAsia="Calibri" w:hAnsi="Times New Roman" w:cs="Times New Roman"/>
          <w:color w:val="000000"/>
          <w:kern w:val="0"/>
          <w14:ligatures w14:val="none"/>
        </w:rPr>
        <w:t xml:space="preserve"> : </w:t>
      </w:r>
      <w:r w:rsidR="00DA2ACB" w:rsidRPr="00DA2ACB">
        <w:rPr>
          <w:rFonts w:ascii="Times New Roman" w:eastAsia="Calibri" w:hAnsi="Times New Roman" w:cs="Times New Roman"/>
          <w:color w:val="000000"/>
          <w:kern w:val="0"/>
          <w14:ligatures w14:val="none"/>
        </w:rPr>
        <w:t xml:space="preserve">Monsieur Moncef </w:t>
      </w:r>
      <w:proofErr w:type="spellStart"/>
      <w:r w:rsidR="00DA2ACB" w:rsidRPr="00DA2ACB">
        <w:rPr>
          <w:rFonts w:ascii="Times New Roman" w:eastAsia="Calibri" w:hAnsi="Times New Roman" w:cs="Times New Roman"/>
          <w:color w:val="000000"/>
          <w:kern w:val="0"/>
          <w14:ligatures w14:val="none"/>
        </w:rPr>
        <w:t>Hamdoum</w:t>
      </w:r>
      <w:proofErr w:type="spellEnd"/>
      <w:r w:rsidR="00DA2ACB" w:rsidRPr="00DA2ACB">
        <w:rPr>
          <w:rFonts w:ascii="Times New Roman" w:eastAsia="Calibri" w:hAnsi="Times New Roman" w:cs="Times New Roman"/>
          <w:color w:val="000000"/>
          <w:kern w:val="0"/>
          <w14:ligatures w14:val="none"/>
        </w:rPr>
        <w:t xml:space="preserve">, Monsieur Mehdi Ben </w:t>
      </w:r>
      <w:proofErr w:type="spellStart"/>
      <w:r w:rsidR="00DA2ACB" w:rsidRPr="00DA2ACB">
        <w:rPr>
          <w:rFonts w:ascii="Times New Roman" w:eastAsia="Calibri" w:hAnsi="Times New Roman" w:cs="Times New Roman"/>
          <w:color w:val="000000"/>
          <w:kern w:val="0"/>
          <w14:ligatures w14:val="none"/>
        </w:rPr>
        <w:t>Khelil</w:t>
      </w:r>
      <w:proofErr w:type="spellEnd"/>
      <w:r w:rsidR="00DA2ACB" w:rsidRPr="00DA2ACB">
        <w:rPr>
          <w:rFonts w:ascii="Times New Roman" w:eastAsia="Calibri" w:hAnsi="Times New Roman" w:cs="Times New Roman"/>
          <w:color w:val="000000"/>
          <w:kern w:val="0"/>
          <w14:ligatures w14:val="none"/>
        </w:rPr>
        <w:t xml:space="preserve">, Monsieur Mohamed Allouche et Monsieur Ilyes </w:t>
      </w:r>
      <w:proofErr w:type="spellStart"/>
      <w:r w:rsidR="00DA2ACB" w:rsidRPr="00DA2ACB">
        <w:rPr>
          <w:rFonts w:ascii="Times New Roman" w:eastAsia="Calibri" w:hAnsi="Times New Roman" w:cs="Times New Roman"/>
          <w:color w:val="000000"/>
          <w:kern w:val="0"/>
          <w14:ligatures w14:val="none"/>
        </w:rPr>
        <w:t>Turki</w:t>
      </w:r>
      <w:proofErr w:type="spellEnd"/>
      <w:r w:rsidR="00DA2ACB" w:rsidRPr="00DA2ACB">
        <w:rPr>
          <w:rFonts w:ascii="Times New Roman" w:eastAsia="Calibri" w:hAnsi="Times New Roman" w:cs="Times New Roman"/>
          <w:color w:val="000000"/>
          <w:kern w:val="0"/>
          <w14:ligatures w14:val="none"/>
        </w:rPr>
        <w:t>.</w:t>
      </w:r>
    </w:p>
    <w:p w14:paraId="080D2951" w14:textId="339136FC" w:rsidR="00DA2ACB" w:rsidRPr="009F1794" w:rsidRDefault="00DA2ACB" w:rsidP="00774A66">
      <w:pPr>
        <w:spacing w:after="0"/>
        <w:jc w:val="both"/>
        <w:rPr>
          <w:rFonts w:ascii="Times New Roman" w:hAnsi="Times New Roman" w:cs="Times New Roman"/>
          <w:b/>
          <w:bCs/>
        </w:rPr>
      </w:pPr>
    </w:p>
    <w:p w14:paraId="70B16002" w14:textId="2899EB52" w:rsidR="00DA2ACB" w:rsidRPr="009F1794" w:rsidRDefault="009F1794" w:rsidP="00774A66">
      <w:pPr>
        <w:spacing w:after="0"/>
        <w:jc w:val="both"/>
        <w:rPr>
          <w:rFonts w:ascii="Times New Roman" w:hAnsi="Times New Roman" w:cs="Times New Roman"/>
          <w:b/>
          <w:bCs/>
        </w:rPr>
      </w:pPr>
      <w:r w:rsidRPr="009F1794">
        <w:rPr>
          <w:rFonts w:ascii="Times New Roman" w:hAnsi="Times New Roman" w:cs="Times New Roman"/>
          <w:b/>
          <w:bCs/>
        </w:rPr>
        <w:t xml:space="preserve">2. Compétence de la Cour pénale internationale </w:t>
      </w:r>
    </w:p>
    <w:p w14:paraId="02843DB2" w14:textId="77777777" w:rsidR="009F1794" w:rsidRDefault="009F1794" w:rsidP="00774A66">
      <w:pPr>
        <w:spacing w:after="0"/>
        <w:jc w:val="both"/>
        <w:rPr>
          <w:rFonts w:ascii="Times New Roman" w:hAnsi="Times New Roman" w:cs="Times New Roman"/>
        </w:rPr>
      </w:pPr>
    </w:p>
    <w:p w14:paraId="39A1182A" w14:textId="5CF869B2" w:rsidR="009F1794" w:rsidRDefault="009F1794" w:rsidP="009F1794">
      <w:pPr>
        <w:spacing w:after="0"/>
        <w:ind w:firstLine="708"/>
        <w:jc w:val="both"/>
        <w:rPr>
          <w:rFonts w:ascii="Times New Roman" w:hAnsi="Times New Roman" w:cs="Times New Roman"/>
        </w:rPr>
      </w:pPr>
      <w:r>
        <w:rPr>
          <w:rFonts w:ascii="Times New Roman" w:hAnsi="Times New Roman" w:cs="Times New Roman"/>
        </w:rPr>
        <w:t xml:space="preserve">En vertu des articles 7 (crimes contre l’humanité) et 12 (compétence territoriale et personnelle) du Statut de Rome, la Cour pénale internationale est compétence pour connaître des crimes contre l’humanité, notamment les actes de persécution fondés sur l’orientation sexuelle la torture, la détention arbitraire, les atteintes graves à l’intégrité physique ou mentale et les actes inhumains causant intentionnellement de grandes souffrances. De tels actes doivent être commis dans le cadre d’une attaque généralisée ou systématique dirigée contre une </w:t>
      </w:r>
      <w:r>
        <w:rPr>
          <w:rFonts w:ascii="Times New Roman" w:hAnsi="Times New Roman" w:cs="Times New Roman"/>
        </w:rPr>
        <w:lastRenderedPageBreak/>
        <w:t xml:space="preserve">population </w:t>
      </w:r>
      <w:r w:rsidRPr="009F1794">
        <w:rPr>
          <w:rFonts w:ascii="Times New Roman" w:hAnsi="Times New Roman" w:cs="Times New Roman"/>
        </w:rPr>
        <w:t>civile et en exécution ou dans la poursuite de la politique d’un État</w:t>
      </w:r>
      <w:r>
        <w:rPr>
          <w:rFonts w:ascii="Times New Roman" w:hAnsi="Times New Roman" w:cs="Times New Roman"/>
        </w:rPr>
        <w:t>, au sens de l’</w:t>
      </w:r>
      <w:r w:rsidRPr="009F1794">
        <w:rPr>
          <w:rFonts w:ascii="Times New Roman" w:hAnsi="Times New Roman" w:cs="Times New Roman"/>
        </w:rPr>
        <w:t>article 7 §2(a) du Statut de Rome.</w:t>
      </w:r>
    </w:p>
    <w:p w14:paraId="26E223BE" w14:textId="77777777" w:rsidR="00C6455D" w:rsidRDefault="00C6455D" w:rsidP="00774A66">
      <w:pPr>
        <w:spacing w:after="0"/>
        <w:jc w:val="both"/>
        <w:rPr>
          <w:rFonts w:ascii="Times New Roman" w:hAnsi="Times New Roman" w:cs="Times New Roman"/>
        </w:rPr>
      </w:pPr>
    </w:p>
    <w:p w14:paraId="1F721EF0" w14:textId="37FAAD96" w:rsidR="00D10C6B" w:rsidRDefault="00DB26EF" w:rsidP="00774A66">
      <w:pPr>
        <w:spacing w:after="0"/>
        <w:jc w:val="both"/>
        <w:rPr>
          <w:rFonts w:ascii="Times New Roman" w:hAnsi="Times New Roman" w:cs="Times New Roman"/>
        </w:rPr>
      </w:pPr>
      <w:r w:rsidRPr="00DB26EF">
        <w:rPr>
          <w:rFonts w:ascii="Times New Roman" w:hAnsi="Times New Roman" w:cs="Times New Roman"/>
        </w:rPr>
        <w:t>La République tunisienne a adhéré au Statut de Rome en le ratifiant le 24 juin 2011. Dès lors, la Cour pénale internationale exerce une compétence pleine et entière sur les crimes relevant de sa juridiction commis sur le territoire tunisien ou par des ressortissants tunisiens, à compter de la date d’entrée en vigueur du Statut à l’égard de la Tunisie.</w:t>
      </w:r>
    </w:p>
    <w:p w14:paraId="1FE94A64" w14:textId="77777777" w:rsidR="00DB26EF" w:rsidRDefault="00DB26EF" w:rsidP="00774A66">
      <w:pPr>
        <w:spacing w:after="0"/>
        <w:jc w:val="both"/>
        <w:rPr>
          <w:rFonts w:ascii="Times New Roman" w:hAnsi="Times New Roman" w:cs="Times New Roman"/>
        </w:rPr>
      </w:pPr>
    </w:p>
    <w:p w14:paraId="0C13EA4A" w14:textId="02ED5C0C" w:rsidR="00D10C6B" w:rsidRPr="00AB2E87" w:rsidRDefault="009C0510" w:rsidP="00774A66">
      <w:pPr>
        <w:spacing w:after="0"/>
        <w:jc w:val="both"/>
        <w:rPr>
          <w:rFonts w:ascii="Times New Roman" w:hAnsi="Times New Roman" w:cs="Times New Roman"/>
          <w:b/>
          <w:bCs/>
        </w:rPr>
      </w:pPr>
      <w:r w:rsidRPr="00AB2E87">
        <w:rPr>
          <w:rFonts w:ascii="Times New Roman" w:hAnsi="Times New Roman" w:cs="Times New Roman"/>
          <w:b/>
          <w:bCs/>
        </w:rPr>
        <w:t xml:space="preserve">3. Présentation de la situation factuelle </w:t>
      </w:r>
    </w:p>
    <w:p w14:paraId="4C4F2109" w14:textId="77777777" w:rsidR="00DB26EF" w:rsidRPr="00AB2E87" w:rsidRDefault="00DB26EF" w:rsidP="00774A66">
      <w:pPr>
        <w:spacing w:after="0"/>
        <w:jc w:val="both"/>
        <w:rPr>
          <w:rFonts w:ascii="Times New Roman" w:hAnsi="Times New Roman" w:cs="Times New Roman"/>
        </w:rPr>
      </w:pPr>
    </w:p>
    <w:p w14:paraId="7FE4ACDB" w14:textId="6E0038A3" w:rsidR="00DB26EF" w:rsidRPr="00AB2E87" w:rsidRDefault="00AB2E87" w:rsidP="00C6455D">
      <w:pPr>
        <w:spacing w:after="0"/>
        <w:ind w:firstLine="708"/>
        <w:jc w:val="both"/>
        <w:rPr>
          <w:rFonts w:ascii="Times New Roman" w:hAnsi="Times New Roman" w:cs="Times New Roman"/>
        </w:rPr>
      </w:pPr>
      <w:r w:rsidRPr="00AB2E87">
        <w:rPr>
          <w:rFonts w:ascii="Times New Roman" w:hAnsi="Times New Roman" w:cs="Times New Roman"/>
        </w:rPr>
        <w:t>La présente communication a pour objet de porter à la connaissance de la Cour le recours répété aux examens anaux forcés à l’encontre de personnes soupçonnées d’homosexualité en Tunisie</w:t>
      </w:r>
      <w:r w:rsidRPr="00AB2E87">
        <w:rPr>
          <w:rFonts w:ascii="Times New Roman" w:hAnsi="Times New Roman" w:cs="Times New Roman"/>
        </w:rPr>
        <w:t xml:space="preserve">. </w:t>
      </w:r>
      <w:r w:rsidRPr="00AB2E87">
        <w:rPr>
          <w:rFonts w:ascii="Times New Roman" w:hAnsi="Times New Roman" w:cs="Times New Roman"/>
        </w:rPr>
        <w:t>Cette pratique constitue une violation flagrante de l’interdiction de la torture ainsi que des traitements cruels, inhumains ou dégradants.</w:t>
      </w:r>
    </w:p>
    <w:p w14:paraId="54FCE123" w14:textId="77777777" w:rsidR="00AB2E87" w:rsidRPr="00AB2E87" w:rsidRDefault="00AB2E87" w:rsidP="00774A66">
      <w:pPr>
        <w:spacing w:after="0"/>
        <w:jc w:val="both"/>
        <w:rPr>
          <w:rFonts w:ascii="Times New Roman" w:hAnsi="Times New Roman" w:cs="Times New Roman"/>
        </w:rPr>
      </w:pPr>
    </w:p>
    <w:p w14:paraId="5DD430FF"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 xml:space="preserve">Depuis plusieurs années, les autorités tunisiennes soumettent des personnes poursuivies au titre de l’article 230 du Code pénal, qui criminalise les relations homosexuelles, à des examens anaux forcés, réalisés par des médecins désignés par l’État. Ces examens visent prétendument à « prouver » l’existence de rapports sexuels anaux, bien qu’aucune validité scientifique ne leur soit reconnue. À ce titre, en 2017, le Conseil national de l’Ordre des médecins tunisien s’est officiellement opposé aux examens anaux et génitaux forcés, les qualifiant de « dégradants, discriminatoires et non scientifiques ». Il a enjoint aux professionnels de santé d’informer les personnes de leur droit de refuser ces procédures. De plus, le Groupe d’experts médico-légaux (Independent </w:t>
      </w:r>
      <w:proofErr w:type="spellStart"/>
      <w:r w:rsidRPr="00AB2E87">
        <w:rPr>
          <w:rFonts w:ascii="Times New Roman" w:eastAsia="Calibri" w:hAnsi="Times New Roman" w:cs="Times New Roman"/>
          <w:color w:val="000000"/>
          <w:kern w:val="0"/>
          <w14:ligatures w14:val="none"/>
        </w:rPr>
        <w:t>Forensic</w:t>
      </w:r>
      <w:proofErr w:type="spellEnd"/>
      <w:r w:rsidRPr="00AB2E87">
        <w:rPr>
          <w:rFonts w:ascii="Times New Roman" w:eastAsia="Calibri" w:hAnsi="Times New Roman" w:cs="Times New Roman"/>
          <w:color w:val="000000"/>
          <w:kern w:val="0"/>
          <w14:ligatures w14:val="none"/>
        </w:rPr>
        <w:t xml:space="preserve"> Expert Group) a déclaré qu’ « aucune étude scientifique ne permet d’affirmer la validité des examens anaux forcés dans la détection des rapports sexuels anaux consensuels</w:t>
      </w:r>
      <w:r w:rsidRPr="00AB2E87">
        <w:rPr>
          <w:rFonts w:ascii="Times New Roman" w:eastAsia="Calibri" w:hAnsi="Times New Roman" w:cs="Times New Roman"/>
          <w:color w:val="000000"/>
          <w:kern w:val="0"/>
          <w:vertAlign w:val="superscript"/>
          <w14:ligatures w14:val="none"/>
        </w:rPr>
        <w:footnoteReference w:id="1"/>
      </w:r>
      <w:r w:rsidRPr="00AB2E87">
        <w:rPr>
          <w:rFonts w:ascii="Times New Roman" w:eastAsia="Calibri" w:hAnsi="Times New Roman" w:cs="Times New Roman"/>
          <w:color w:val="000000"/>
          <w:kern w:val="0"/>
          <w14:ligatures w14:val="none"/>
        </w:rPr>
        <w:t xml:space="preserve"> ». De fait, l’hypothèse selon laquelle l’examen anal permettrait de détecter une diminution du tonus sphinctérien anal considérée comme un signe fiable de rapports sexuels anaux est erronée. En outre, le Comité contre la torture a confirmé l'absence de fondement médical des examens anaux forcés dans ses observations finales sur le troisième rapport périodique de la Tunisie. Il a énoncé que la Tunisie devrait abroger l’article 230 du Code pénal et interdire « examens médicaux intrusifs qui n’ont aucune justification médicale et ne peuvent être consentis de manière libre et éclairée par les personnes qui les subissent et qui seront, de ce fait, poursuivis en justice</w:t>
      </w:r>
      <w:r w:rsidRPr="00AB2E87">
        <w:rPr>
          <w:rFonts w:ascii="Times New Roman" w:eastAsia="Calibri" w:hAnsi="Times New Roman" w:cs="Times New Roman"/>
          <w:color w:val="000000"/>
          <w:kern w:val="0"/>
          <w:vertAlign w:val="superscript"/>
          <w14:ligatures w14:val="none"/>
        </w:rPr>
        <w:footnoteReference w:id="2"/>
      </w:r>
      <w:r w:rsidRPr="00AB2E87">
        <w:rPr>
          <w:rFonts w:ascii="Times New Roman" w:eastAsia="Calibri" w:hAnsi="Times New Roman" w:cs="Times New Roman"/>
          <w:color w:val="000000"/>
          <w:kern w:val="0"/>
          <w14:ligatures w14:val="none"/>
        </w:rPr>
        <w:t xml:space="preserve"> ».</w:t>
      </w:r>
    </w:p>
    <w:p w14:paraId="30689E39"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388AC6A7"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 xml:space="preserve">En effet, l’examen anal pratiqué pour prouver l’homosexualité d’un individu ne peut résulter d’un consentement libre et éclairé de la part de ce dernier compte-tenu des menaces et/ou violences physiques exercées par la police arguant que le refus de donner son consentement serait interprété comme une </w:t>
      </w:r>
      <w:proofErr w:type="spellStart"/>
      <w:r w:rsidRPr="00AB2E87">
        <w:rPr>
          <w:rFonts w:ascii="Times New Roman" w:eastAsia="Calibri" w:hAnsi="Times New Roman" w:cs="Times New Roman"/>
          <w:color w:val="000000"/>
          <w:kern w:val="0"/>
          <w14:ligatures w14:val="none"/>
        </w:rPr>
        <w:t>auto-incrimination</w:t>
      </w:r>
      <w:proofErr w:type="spellEnd"/>
      <w:r w:rsidRPr="00AB2E87">
        <w:rPr>
          <w:rFonts w:ascii="Times New Roman" w:eastAsia="Calibri" w:hAnsi="Times New Roman" w:cs="Times New Roman"/>
          <w:color w:val="000000"/>
          <w:kern w:val="0"/>
          <w:vertAlign w:val="superscript"/>
          <w14:ligatures w14:val="none"/>
        </w:rPr>
        <w:footnoteReference w:id="3"/>
      </w:r>
      <w:r w:rsidRPr="00AB2E87">
        <w:rPr>
          <w:rFonts w:ascii="Times New Roman" w:eastAsia="Calibri" w:hAnsi="Times New Roman" w:cs="Times New Roman"/>
          <w:color w:val="000000"/>
          <w:kern w:val="0"/>
          <w14:ligatures w14:val="none"/>
        </w:rPr>
        <w:t xml:space="preserve">. Il est donc de fait un examen forcé, auquel </w:t>
      </w:r>
      <w:r w:rsidRPr="00AB2E87">
        <w:rPr>
          <w:rFonts w:ascii="Times New Roman" w:eastAsia="Calibri" w:hAnsi="Times New Roman" w:cs="Times New Roman"/>
          <w:color w:val="000000"/>
          <w:kern w:val="0"/>
          <w14:ligatures w14:val="none"/>
        </w:rPr>
        <w:lastRenderedPageBreak/>
        <w:t xml:space="preserve">l’individu ne peut consentir librement puisqu’il est quasi-systématiquement exercé sous la contrainte. </w:t>
      </w:r>
    </w:p>
    <w:p w14:paraId="3EF3B542"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267D6E7C"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 xml:space="preserve">Ces actes ne relèvent pas uniquement d’une atteinte à la dignité humaine : ils constituent des actes de barbarie au sens le plus strict du terme, infligeant intentionnellement des souffrances physiques et mentales d’une intensité extrême, sans nécessité médicale ni justification légale. En soumettant des personnes à des pénétrations forcées à des fins prétendument probatoires, l’État recourt à des pratiques assimilables à des violences sexuelles institutionnalisées, contraires aux principes les plus fondamentaux du droit pénal. Par leur caractère invasif, stigmatisant et déshumanisant, ces examens anaux forcés s’inscrivent dans une tradition de traitements corporels d’une brutalité extrême. À ce titre, le Groupe indépendant d’experts médico-légaux a qualité les examens anaux de pratiques humiliantes, dégradantes et génératrices de souffrances psychologiques majeures. Selon leurs conclusions, ces examens provoquent chez les victimes un profond sentiment d’impuissance et d’humiliation, pouvant entraîner un sentiment de honte, de culpabilité, de dégoût de soi, voire une altération durable de l’estime de soi et de la personnalité. Par ailleurs, ces pratiques sont fréquemment accompagnées d’autres formes de violences, telles que des passages à tabac et des propos dénigrants de la part des agents de police ou du personnel médical, fondés sur l’orientation sexuelle présumée des personnes concernées. </w:t>
      </w:r>
    </w:p>
    <w:p w14:paraId="350445CB"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7FF63FCE"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La pratique des examens anaux forcés est explicitement condamnée par les standards internationaux relatifs aux droits humains.</w:t>
      </w:r>
      <w:r w:rsidRPr="00AB2E87">
        <w:rPr>
          <w:rFonts w:ascii="Times New Roman" w:eastAsia="Calibri" w:hAnsi="Times New Roman" w:cs="Times New Roman"/>
          <w:color w:val="000000"/>
          <w:kern w:val="0"/>
          <w:sz w:val="22"/>
          <w:szCs w:val="22"/>
          <w14:ligatures w14:val="none"/>
        </w:rPr>
        <w:t xml:space="preserve"> </w:t>
      </w:r>
      <w:r w:rsidRPr="00AB2E87">
        <w:rPr>
          <w:rFonts w:ascii="Times New Roman" w:eastAsia="Calibri" w:hAnsi="Times New Roman" w:cs="Times New Roman"/>
          <w:color w:val="000000"/>
          <w:kern w:val="0"/>
          <w14:ligatures w14:val="none"/>
        </w:rPr>
        <w:t>Le Comité des Nations Unies contre la torture, le Rapporteur spécial des Nations Unies sur la torture et le Groupe de travail des Nations Unies sur la détention arbitraire ont tous affirmé que ces examens contreviennent à l’interdiction absolue de la torture et des traitements cruels, inhumains ou dégradants</w:t>
      </w:r>
      <w:r w:rsidRPr="00AB2E87">
        <w:rPr>
          <w:rFonts w:ascii="Times New Roman" w:eastAsia="Calibri" w:hAnsi="Times New Roman" w:cs="Times New Roman"/>
          <w:color w:val="000000"/>
          <w:kern w:val="0"/>
          <w:vertAlign w:val="superscript"/>
          <w14:ligatures w14:val="none"/>
        </w:rPr>
        <w:footnoteReference w:id="4"/>
      </w:r>
      <w:r w:rsidRPr="00AB2E87">
        <w:rPr>
          <w:rFonts w:ascii="Times New Roman" w:eastAsia="Calibri" w:hAnsi="Times New Roman" w:cs="Times New Roman"/>
          <w:color w:val="000000"/>
          <w:kern w:val="0"/>
          <w14:ligatures w14:val="none"/>
        </w:rPr>
        <w:t>. Dans un rapport de janvier 2016, le Rapporteur spécial a précisé que dans les États criminalisant l’homosexualité, les examens anaux non consentis pratiqués pour obtenir une prétendue preuve de rapports homosexuels sont médicalement infondés et constituent une forme de torture ou de mauvais traitements</w:t>
      </w:r>
      <w:r w:rsidRPr="00AB2E87">
        <w:rPr>
          <w:rFonts w:ascii="Times New Roman" w:eastAsia="Calibri" w:hAnsi="Times New Roman" w:cs="Times New Roman"/>
          <w:color w:val="000000"/>
          <w:kern w:val="0"/>
          <w:vertAlign w:val="superscript"/>
          <w14:ligatures w14:val="none"/>
        </w:rPr>
        <w:footnoteReference w:id="5"/>
      </w:r>
      <w:r w:rsidRPr="00AB2E87">
        <w:rPr>
          <w:rFonts w:ascii="Times New Roman" w:eastAsia="Calibri" w:hAnsi="Times New Roman" w:cs="Times New Roman"/>
          <w:color w:val="000000"/>
          <w:kern w:val="0"/>
          <w14:ligatures w14:val="none"/>
        </w:rPr>
        <w:t>. Le rapport final de l’Instance Vérité et Dignité recommande l’interdiction des tests anaux</w:t>
      </w:r>
      <w:r w:rsidRPr="00AB2E87">
        <w:rPr>
          <w:rFonts w:ascii="Times New Roman" w:eastAsia="Calibri" w:hAnsi="Times New Roman" w:cs="Times New Roman"/>
          <w:color w:val="000000"/>
          <w:kern w:val="0"/>
          <w:vertAlign w:val="superscript"/>
          <w14:ligatures w14:val="none"/>
        </w:rPr>
        <w:footnoteReference w:id="6"/>
      </w:r>
      <w:r w:rsidRPr="00AB2E87">
        <w:rPr>
          <w:rFonts w:ascii="Times New Roman" w:eastAsia="Calibri" w:hAnsi="Times New Roman" w:cs="Times New Roman"/>
          <w:color w:val="000000"/>
          <w:kern w:val="0"/>
          <w14:ligatures w14:val="none"/>
        </w:rPr>
        <w:t xml:space="preserve"> tout comme l’Instance nationale pour la prévention de la torture qui déclare qu’un tel acte constitue de la torture</w:t>
      </w:r>
      <w:r w:rsidRPr="00AB2E87">
        <w:rPr>
          <w:rFonts w:ascii="Times New Roman" w:eastAsia="Calibri" w:hAnsi="Times New Roman" w:cs="Times New Roman"/>
          <w:color w:val="000000"/>
          <w:kern w:val="0"/>
          <w:vertAlign w:val="superscript"/>
          <w14:ligatures w14:val="none"/>
        </w:rPr>
        <w:footnoteReference w:id="7"/>
      </w:r>
      <w:r w:rsidRPr="00AB2E87">
        <w:rPr>
          <w:rFonts w:ascii="Times New Roman" w:eastAsia="Calibri" w:hAnsi="Times New Roman" w:cs="Times New Roman"/>
          <w:color w:val="000000"/>
          <w:kern w:val="0"/>
          <w14:ligatures w14:val="none"/>
        </w:rPr>
        <w:t>. Le Haut-Commissariat des Nations Unies aux droits de l’Homme a également appelé à l’interdiction des examens anaux forcés</w:t>
      </w:r>
      <w:r w:rsidRPr="00AB2E87">
        <w:rPr>
          <w:rFonts w:ascii="Times New Roman" w:eastAsia="Calibri" w:hAnsi="Times New Roman" w:cs="Times New Roman"/>
          <w:color w:val="000000"/>
          <w:kern w:val="0"/>
          <w:vertAlign w:val="superscript"/>
          <w14:ligatures w14:val="none"/>
        </w:rPr>
        <w:footnoteReference w:id="8"/>
      </w:r>
      <w:r w:rsidRPr="00AB2E87">
        <w:rPr>
          <w:rFonts w:ascii="Times New Roman" w:eastAsia="Calibri" w:hAnsi="Times New Roman" w:cs="Times New Roman"/>
          <w:color w:val="000000"/>
          <w:kern w:val="0"/>
          <w14:ligatures w14:val="none"/>
        </w:rPr>
        <w:t xml:space="preserve">. Le Groupe de travail sur la détention arbitraire a également souligné que ces pratiques sont interdites, qu’elles soient </w:t>
      </w:r>
      <w:r w:rsidRPr="00AB2E87">
        <w:rPr>
          <w:rFonts w:ascii="Times New Roman" w:eastAsia="Calibri" w:hAnsi="Times New Roman" w:cs="Times New Roman"/>
          <w:color w:val="000000"/>
          <w:kern w:val="0"/>
          <w14:ligatures w14:val="none"/>
        </w:rPr>
        <w:lastRenderedPageBreak/>
        <w:t>utilisées à des fins punitives, pour extorquer des aveux ou comme instrument de discrimination</w:t>
      </w:r>
      <w:r w:rsidRPr="00AB2E87">
        <w:rPr>
          <w:rFonts w:ascii="Times New Roman" w:eastAsia="Calibri" w:hAnsi="Times New Roman" w:cs="Times New Roman"/>
          <w:color w:val="000000"/>
          <w:kern w:val="0"/>
          <w:vertAlign w:val="superscript"/>
          <w14:ligatures w14:val="none"/>
        </w:rPr>
        <w:footnoteReference w:id="9"/>
      </w:r>
      <w:r w:rsidRPr="00AB2E87">
        <w:rPr>
          <w:rFonts w:ascii="Times New Roman" w:eastAsia="Calibri" w:hAnsi="Times New Roman" w:cs="Times New Roman"/>
          <w:color w:val="000000"/>
          <w:kern w:val="0"/>
          <w14:ligatures w14:val="none"/>
        </w:rPr>
        <w:t>.</w:t>
      </w:r>
    </w:p>
    <w:p w14:paraId="24FAB17B"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40778809"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De plus, les examens anaux forcés constituent une faute déontologique des médecins légistes. Ils sont contraires à l’éthique médicale prévue par la Déclaration de Genève de l’Association médicale mondiale</w:t>
      </w:r>
      <w:r w:rsidRPr="00AB2E87">
        <w:rPr>
          <w:rFonts w:ascii="Times New Roman" w:eastAsia="Calibri" w:hAnsi="Times New Roman" w:cs="Times New Roman"/>
          <w:color w:val="000000"/>
          <w:kern w:val="0"/>
          <w:vertAlign w:val="superscript"/>
          <w14:ligatures w14:val="none"/>
        </w:rPr>
        <w:footnoteReference w:id="10"/>
      </w:r>
      <w:r w:rsidRPr="00AB2E87">
        <w:rPr>
          <w:rFonts w:ascii="Times New Roman" w:eastAsia="Calibri" w:hAnsi="Times New Roman" w:cs="Times New Roman"/>
          <w:color w:val="000000"/>
          <w:kern w:val="0"/>
          <w14:ligatures w14:val="none"/>
        </w:rPr>
        <w:t xml:space="preserve"> et par les Principes d’éthique médicale applicables au rôle du personnel de santé, en particulier des médecins, dans la protection des prisonniers et des détenus contre la torture et autres peines ou traitements cruels inhumains ou dégradants</w:t>
      </w:r>
      <w:r w:rsidRPr="00AB2E87">
        <w:rPr>
          <w:rFonts w:ascii="Times New Roman" w:eastAsia="Calibri" w:hAnsi="Times New Roman" w:cs="Times New Roman"/>
          <w:color w:val="000000"/>
          <w:kern w:val="0"/>
          <w:vertAlign w:val="superscript"/>
          <w14:ligatures w14:val="none"/>
        </w:rPr>
        <w:footnoteReference w:id="11"/>
      </w:r>
      <w:r w:rsidRPr="00AB2E87">
        <w:rPr>
          <w:rFonts w:ascii="Times New Roman" w:eastAsia="Calibri" w:hAnsi="Times New Roman" w:cs="Times New Roman"/>
          <w:color w:val="000000"/>
          <w:kern w:val="0"/>
          <w14:ligatures w14:val="none"/>
        </w:rPr>
        <w:t xml:space="preserve">. L’article 2 de ces principes dispose qu’« il constitue une violation grave de l’éthique médicale, ainsi qu’une infraction aux instruments internationaux applicables, lorsque le personnel de santé, en particulier les médecins, se livre, activement ou passivement, à des actes qui constituent une participation, une complicité, une incitation ou une tentative de torture ou d’autres peines ou traitements cruels, inhumains ou dégradants ». Ce principe est également prévu à l’article 7 du Code de déontologie médicale tunisien, qui précise qu’« un médecin sollicité ou requis pour examiner une personne privée de liberté ou pour donner des soins ne peut directement ou indirectement, ne serait-ce que par sa seule présence, favoriser ou cautionner, une atteinte à l’intégrité physique ou mentale de cette personne ou à sa dignité ». Dès lors, les médecins légistes se rendent coupables d’une violation grave de l’éthique médicale en pratiquant l’examen anal, considéré comme un acte de torture. </w:t>
      </w:r>
    </w:p>
    <w:p w14:paraId="44AA9EA1"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60946CC4"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Ces examens anaux, ordonnés par des juges d’instruction et exécutés par des médecins légistes, tous agents de l’État tunisien, sont documentés dans plusieurs communiqués publiés entre janvier et mai 2025. Ainsi, un communiqué du 17 janvier 2025 rapporte que plusieurs jeunes hommes ont été contraints de se présenter à l’Institut médico-légal de Tunis, où ils ont été attachés et soumis à ces examens sans leur consentement. Les rapports médicaux issus de ces procédures sont ensuite utilisés pour justifier leur détention provisoire.</w:t>
      </w:r>
    </w:p>
    <w:p w14:paraId="391D72B8"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39C6DCAE"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 xml:space="preserve">Les principaux médecins identifiés comme ayant régulièrement pratiqué ces examens anaux forcés dans le cadre de procédures judiciaires sont : Monsieur Moncef </w:t>
      </w:r>
      <w:proofErr w:type="spellStart"/>
      <w:r w:rsidRPr="00AB2E87">
        <w:rPr>
          <w:rFonts w:ascii="Times New Roman" w:eastAsia="Calibri" w:hAnsi="Times New Roman" w:cs="Times New Roman"/>
          <w:color w:val="000000"/>
          <w:kern w:val="0"/>
          <w14:ligatures w14:val="none"/>
        </w:rPr>
        <w:t>Hamdoum</w:t>
      </w:r>
      <w:proofErr w:type="spellEnd"/>
      <w:r w:rsidRPr="00AB2E87">
        <w:rPr>
          <w:rFonts w:ascii="Times New Roman" w:eastAsia="Calibri" w:hAnsi="Times New Roman" w:cs="Times New Roman"/>
          <w:color w:val="000000"/>
          <w:kern w:val="0"/>
          <w14:ligatures w14:val="none"/>
        </w:rPr>
        <w:t xml:space="preserve">, Monsieur Mehdi Ben </w:t>
      </w:r>
      <w:proofErr w:type="spellStart"/>
      <w:r w:rsidRPr="00AB2E87">
        <w:rPr>
          <w:rFonts w:ascii="Times New Roman" w:eastAsia="Calibri" w:hAnsi="Times New Roman" w:cs="Times New Roman"/>
          <w:color w:val="000000"/>
          <w:kern w:val="0"/>
          <w14:ligatures w14:val="none"/>
        </w:rPr>
        <w:t>Khelil</w:t>
      </w:r>
      <w:proofErr w:type="spellEnd"/>
      <w:r w:rsidRPr="00AB2E87">
        <w:rPr>
          <w:rFonts w:ascii="Times New Roman" w:eastAsia="Calibri" w:hAnsi="Times New Roman" w:cs="Times New Roman"/>
          <w:color w:val="000000"/>
          <w:kern w:val="0"/>
          <w14:ligatures w14:val="none"/>
        </w:rPr>
        <w:t xml:space="preserve">, Monsieur Mohamed Allouche et Monsieur Ilyes </w:t>
      </w:r>
      <w:proofErr w:type="spellStart"/>
      <w:r w:rsidRPr="00AB2E87">
        <w:rPr>
          <w:rFonts w:ascii="Times New Roman" w:eastAsia="Calibri" w:hAnsi="Times New Roman" w:cs="Times New Roman"/>
          <w:color w:val="000000"/>
          <w:kern w:val="0"/>
          <w14:ligatures w14:val="none"/>
        </w:rPr>
        <w:t>Turki</w:t>
      </w:r>
      <w:proofErr w:type="spellEnd"/>
      <w:r w:rsidRPr="00AB2E87">
        <w:rPr>
          <w:rFonts w:ascii="Times New Roman" w:eastAsia="Calibri" w:hAnsi="Times New Roman" w:cs="Times New Roman"/>
          <w:color w:val="000000"/>
          <w:kern w:val="0"/>
          <w14:ligatures w14:val="none"/>
        </w:rPr>
        <w:t>.</w:t>
      </w:r>
    </w:p>
    <w:p w14:paraId="1D0CBEE7"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0D046688"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 xml:space="preserve">Ainsi, le Docteur Mehdi Ben </w:t>
      </w:r>
      <w:proofErr w:type="spellStart"/>
      <w:r w:rsidRPr="00AB2E87">
        <w:rPr>
          <w:rFonts w:ascii="Times New Roman" w:eastAsia="Calibri" w:hAnsi="Times New Roman" w:cs="Times New Roman"/>
          <w:color w:val="000000"/>
          <w:kern w:val="0"/>
          <w14:ligatures w14:val="none"/>
        </w:rPr>
        <w:t>Khelil</w:t>
      </w:r>
      <w:proofErr w:type="spellEnd"/>
      <w:r w:rsidRPr="00AB2E87">
        <w:rPr>
          <w:rFonts w:ascii="Times New Roman" w:eastAsia="Calibri" w:hAnsi="Times New Roman" w:cs="Times New Roman"/>
          <w:color w:val="000000"/>
          <w:kern w:val="0"/>
          <w14:ligatures w14:val="none"/>
        </w:rPr>
        <w:t xml:space="preserve">, médecin légiste à l’Hôpital Charles Nicolle, désigné Expert par réquisition de Monsieur Moncef </w:t>
      </w:r>
      <w:proofErr w:type="spellStart"/>
      <w:r w:rsidRPr="00AB2E87">
        <w:rPr>
          <w:rFonts w:ascii="Times New Roman" w:eastAsia="Calibri" w:hAnsi="Times New Roman" w:cs="Times New Roman"/>
          <w:color w:val="000000"/>
          <w:kern w:val="0"/>
          <w14:ligatures w14:val="none"/>
        </w:rPr>
        <w:t>Majri</w:t>
      </w:r>
      <w:proofErr w:type="spellEnd"/>
      <w:r w:rsidRPr="00AB2E87">
        <w:rPr>
          <w:rFonts w:ascii="Times New Roman" w:eastAsia="Calibri" w:hAnsi="Times New Roman" w:cs="Times New Roman"/>
          <w:color w:val="000000"/>
          <w:kern w:val="0"/>
          <w14:ligatures w14:val="none"/>
        </w:rPr>
        <w:t xml:space="preserve">, Officier de Police à la brigade des mineurs, a procédé à un examen anal sur un mineur âgé de 17 ans, Aymen Ben Kamel Ben </w:t>
      </w:r>
      <w:proofErr w:type="spellStart"/>
      <w:r w:rsidRPr="00AB2E87">
        <w:rPr>
          <w:rFonts w:ascii="Times New Roman" w:eastAsia="Calibri" w:hAnsi="Times New Roman" w:cs="Times New Roman"/>
          <w:color w:val="000000"/>
          <w:kern w:val="0"/>
          <w14:ligatures w14:val="none"/>
        </w:rPr>
        <w:t>Kilani</w:t>
      </w:r>
      <w:proofErr w:type="spellEnd"/>
      <w:r w:rsidRPr="00AB2E87">
        <w:rPr>
          <w:rFonts w:ascii="Times New Roman" w:eastAsia="Calibri" w:hAnsi="Times New Roman" w:cs="Times New Roman"/>
          <w:color w:val="000000"/>
          <w:kern w:val="0"/>
          <w14:ligatures w14:val="none"/>
        </w:rPr>
        <w:t xml:space="preserve"> </w:t>
      </w:r>
      <w:proofErr w:type="spellStart"/>
      <w:r w:rsidRPr="00AB2E87">
        <w:rPr>
          <w:rFonts w:ascii="Times New Roman" w:eastAsia="Calibri" w:hAnsi="Times New Roman" w:cs="Times New Roman"/>
          <w:color w:val="000000"/>
          <w:kern w:val="0"/>
          <w14:ligatures w14:val="none"/>
        </w:rPr>
        <w:t>Makki</w:t>
      </w:r>
      <w:proofErr w:type="spellEnd"/>
      <w:r w:rsidRPr="00AB2E87">
        <w:rPr>
          <w:rFonts w:ascii="Times New Roman" w:eastAsia="Calibri" w:hAnsi="Times New Roman" w:cs="Times New Roman"/>
          <w:color w:val="000000"/>
          <w:kern w:val="0"/>
          <w14:ligatures w14:val="none"/>
        </w:rPr>
        <w:t xml:space="preserve"> le 30 décembre 2013. </w:t>
      </w:r>
    </w:p>
    <w:p w14:paraId="7CDE353C"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73AD4A16"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bCs/>
          <w:color w:val="000000"/>
          <w:kern w:val="0"/>
          <w14:ligatures w14:val="none"/>
        </w:rPr>
      </w:pPr>
      <w:r w:rsidRPr="00AB2E87">
        <w:rPr>
          <w:rFonts w:ascii="Times New Roman" w:eastAsia="Calibri" w:hAnsi="Times New Roman" w:cs="Times New Roman"/>
          <w:bCs/>
          <w:color w:val="000000"/>
          <w:kern w:val="0"/>
          <w14:ligatures w14:val="none"/>
        </w:rPr>
        <w:t>Également, le Docteur Mohamed Allouche, Médecin Légiste à l’Hôpital Charles Nicolle, a été signé Expert par réquisition de Madame Saida Ghrabi, 1</w:t>
      </w:r>
      <w:r w:rsidRPr="00AB2E87">
        <w:rPr>
          <w:rFonts w:ascii="Times New Roman" w:eastAsia="Calibri" w:hAnsi="Times New Roman" w:cs="Times New Roman"/>
          <w:bCs/>
          <w:color w:val="000000"/>
          <w:kern w:val="0"/>
          <w:vertAlign w:val="superscript"/>
          <w14:ligatures w14:val="none"/>
        </w:rPr>
        <w:t>er</w:t>
      </w:r>
      <w:r w:rsidRPr="00AB2E87">
        <w:rPr>
          <w:rFonts w:ascii="Times New Roman" w:eastAsia="Calibri" w:hAnsi="Times New Roman" w:cs="Times New Roman"/>
          <w:bCs/>
          <w:color w:val="000000"/>
          <w:kern w:val="0"/>
          <w14:ligatures w14:val="none"/>
        </w:rPr>
        <w:t xml:space="preserve"> juge d’Instruction au Tribunal de 1</w:t>
      </w:r>
      <w:r w:rsidRPr="00AB2E87">
        <w:rPr>
          <w:rFonts w:ascii="Times New Roman" w:eastAsia="Calibri" w:hAnsi="Times New Roman" w:cs="Times New Roman"/>
          <w:bCs/>
          <w:color w:val="000000"/>
          <w:kern w:val="0"/>
          <w:vertAlign w:val="superscript"/>
          <w14:ligatures w14:val="none"/>
        </w:rPr>
        <w:t xml:space="preserve">ère </w:t>
      </w:r>
      <w:r w:rsidRPr="00AB2E87">
        <w:rPr>
          <w:rFonts w:ascii="Times New Roman" w:eastAsia="Calibri" w:hAnsi="Times New Roman" w:cs="Times New Roman"/>
          <w:bCs/>
          <w:color w:val="000000"/>
          <w:kern w:val="0"/>
          <w14:ligatures w14:val="none"/>
        </w:rPr>
        <w:lastRenderedPageBreak/>
        <w:t>instance de Tunis, a procédé à un test anal sur Mohamed Karim Ben Mounir Belhadj avec pour mission de préciser si l’individu présentait des signes de pédérastie aigue et s’il était habitué à la pédérastie chronique. Le docteur a rempli sa mission « en honneur et conscience » le 4 avril 2017.</w:t>
      </w:r>
    </w:p>
    <w:p w14:paraId="5A00219B"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bCs/>
          <w:color w:val="000000"/>
          <w:kern w:val="0"/>
          <w14:ligatures w14:val="none"/>
        </w:rPr>
      </w:pPr>
    </w:p>
    <w:p w14:paraId="52161BA3"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bCs/>
          <w:color w:val="000000"/>
          <w:kern w:val="0"/>
          <w14:ligatures w14:val="none"/>
        </w:rPr>
      </w:pPr>
      <w:r w:rsidRPr="00AB2E87">
        <w:rPr>
          <w:rFonts w:ascii="Times New Roman" w:eastAsia="Calibri" w:hAnsi="Times New Roman" w:cs="Times New Roman"/>
          <w:bCs/>
          <w:color w:val="000000"/>
          <w:kern w:val="0"/>
          <w14:ligatures w14:val="none"/>
        </w:rPr>
        <w:t xml:space="preserve">Le même Docteur </w:t>
      </w:r>
      <w:proofErr w:type="spellStart"/>
      <w:r w:rsidRPr="00AB2E87">
        <w:rPr>
          <w:rFonts w:ascii="Times New Roman" w:eastAsia="Calibri" w:hAnsi="Times New Roman" w:cs="Times New Roman"/>
          <w:bCs/>
          <w:color w:val="000000"/>
          <w:kern w:val="0"/>
          <w14:ligatures w14:val="none"/>
        </w:rPr>
        <w:t>Docteur</w:t>
      </w:r>
      <w:proofErr w:type="spellEnd"/>
      <w:r w:rsidRPr="00AB2E87">
        <w:rPr>
          <w:rFonts w:ascii="Times New Roman" w:eastAsia="Calibri" w:hAnsi="Times New Roman" w:cs="Times New Roman"/>
          <w:bCs/>
          <w:color w:val="000000"/>
          <w:kern w:val="0"/>
          <w14:ligatures w14:val="none"/>
        </w:rPr>
        <w:t xml:space="preserve"> Mohamed Allouche, sur réquisition de Monsieur Hamdi Kacem, chef de la première bridage de lutte contre le crime de la garde nationale de Ben Arous, a procédé à un test anal sur la personne de </w:t>
      </w:r>
      <w:proofErr w:type="spellStart"/>
      <w:r w:rsidRPr="00AB2E87">
        <w:rPr>
          <w:rFonts w:ascii="Times New Roman" w:eastAsia="Calibri" w:hAnsi="Times New Roman" w:cs="Times New Roman"/>
          <w:bCs/>
          <w:color w:val="000000"/>
          <w:kern w:val="0"/>
          <w14:ligatures w14:val="none"/>
        </w:rPr>
        <w:t>Iheb</w:t>
      </w:r>
      <w:proofErr w:type="spellEnd"/>
      <w:r w:rsidRPr="00AB2E87">
        <w:rPr>
          <w:rFonts w:ascii="Times New Roman" w:eastAsia="Calibri" w:hAnsi="Times New Roman" w:cs="Times New Roman"/>
          <w:bCs/>
          <w:color w:val="000000"/>
          <w:kern w:val="0"/>
          <w14:ligatures w14:val="none"/>
        </w:rPr>
        <w:t xml:space="preserve"> Ben Ahmed </w:t>
      </w:r>
      <w:proofErr w:type="spellStart"/>
      <w:r w:rsidRPr="00AB2E87">
        <w:rPr>
          <w:rFonts w:ascii="Times New Roman" w:eastAsia="Calibri" w:hAnsi="Times New Roman" w:cs="Times New Roman"/>
          <w:bCs/>
          <w:color w:val="000000"/>
          <w:kern w:val="0"/>
          <w14:ligatures w14:val="none"/>
        </w:rPr>
        <w:t>Maamouri</w:t>
      </w:r>
      <w:proofErr w:type="spellEnd"/>
      <w:r w:rsidRPr="00AB2E87">
        <w:rPr>
          <w:rFonts w:ascii="Times New Roman" w:eastAsia="Calibri" w:hAnsi="Times New Roman" w:cs="Times New Roman"/>
          <w:bCs/>
          <w:color w:val="000000"/>
          <w:kern w:val="0"/>
          <w14:ligatures w14:val="none"/>
        </w:rPr>
        <w:t xml:space="preserve">. Il a « rempli sa mission en honneur et conscience » le 10 avril 2018. </w:t>
      </w:r>
    </w:p>
    <w:p w14:paraId="352F1E5F"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6BACFA66"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 xml:space="preserve">Le 5 décembre 2015, le Docteur Ilyes </w:t>
      </w:r>
      <w:proofErr w:type="spellStart"/>
      <w:r w:rsidRPr="00AB2E87">
        <w:rPr>
          <w:rFonts w:ascii="Times New Roman" w:eastAsia="Calibri" w:hAnsi="Times New Roman" w:cs="Times New Roman"/>
          <w:color w:val="000000"/>
          <w:kern w:val="0"/>
          <w14:ligatures w14:val="none"/>
        </w:rPr>
        <w:t>Turki</w:t>
      </w:r>
      <w:proofErr w:type="spellEnd"/>
      <w:r w:rsidRPr="00AB2E87">
        <w:rPr>
          <w:rFonts w:ascii="Times New Roman" w:eastAsia="Calibri" w:hAnsi="Times New Roman" w:cs="Times New Roman"/>
          <w:color w:val="000000"/>
          <w:kern w:val="0"/>
          <w14:ligatures w14:val="none"/>
        </w:rPr>
        <w:t xml:space="preserve">, médecin légiste rattaché à l’unité médico-légale de l’hôpital Les Aghlabides à Kairouan, a procédé, sur réquisition du commissaire en chef de Kairouan, à des examens anaux forcés sur six personnes : Salah Ben Bechir Ben Salah </w:t>
      </w:r>
      <w:proofErr w:type="spellStart"/>
      <w:r w:rsidRPr="00AB2E87">
        <w:rPr>
          <w:rFonts w:ascii="Times New Roman" w:eastAsia="Calibri" w:hAnsi="Times New Roman" w:cs="Times New Roman"/>
          <w:color w:val="000000"/>
          <w:kern w:val="0"/>
          <w14:ligatures w14:val="none"/>
        </w:rPr>
        <w:t>Sahli</w:t>
      </w:r>
      <w:proofErr w:type="spellEnd"/>
      <w:r w:rsidRPr="00AB2E87">
        <w:rPr>
          <w:rFonts w:ascii="Times New Roman" w:eastAsia="Calibri" w:hAnsi="Times New Roman" w:cs="Times New Roman"/>
          <w:color w:val="000000"/>
          <w:kern w:val="0"/>
          <w14:ligatures w14:val="none"/>
        </w:rPr>
        <w:t xml:space="preserve">, Brahim Ben Taher Ben Amara </w:t>
      </w:r>
      <w:proofErr w:type="spellStart"/>
      <w:r w:rsidRPr="00AB2E87">
        <w:rPr>
          <w:rFonts w:ascii="Times New Roman" w:eastAsia="Calibri" w:hAnsi="Times New Roman" w:cs="Times New Roman"/>
          <w:color w:val="000000"/>
          <w:kern w:val="0"/>
          <w14:ligatures w14:val="none"/>
        </w:rPr>
        <w:t>Mouelhi</w:t>
      </w:r>
      <w:proofErr w:type="spellEnd"/>
      <w:r w:rsidRPr="00AB2E87">
        <w:rPr>
          <w:rFonts w:ascii="Times New Roman" w:eastAsia="Calibri" w:hAnsi="Times New Roman" w:cs="Times New Roman"/>
          <w:color w:val="000000"/>
          <w:kern w:val="0"/>
          <w14:ligatures w14:val="none"/>
        </w:rPr>
        <w:t xml:space="preserve">, Skander Ben Kamel Ben Hassen </w:t>
      </w:r>
      <w:proofErr w:type="spellStart"/>
      <w:r w:rsidRPr="00AB2E87">
        <w:rPr>
          <w:rFonts w:ascii="Times New Roman" w:eastAsia="Calibri" w:hAnsi="Times New Roman" w:cs="Times New Roman"/>
          <w:color w:val="000000"/>
          <w:kern w:val="0"/>
          <w14:ligatures w14:val="none"/>
        </w:rPr>
        <w:t>Alayet</w:t>
      </w:r>
      <w:proofErr w:type="spellEnd"/>
      <w:r w:rsidRPr="00AB2E87">
        <w:rPr>
          <w:rFonts w:ascii="Times New Roman" w:eastAsia="Calibri" w:hAnsi="Times New Roman" w:cs="Times New Roman"/>
          <w:color w:val="000000"/>
          <w:kern w:val="0"/>
          <w14:ligatures w14:val="none"/>
        </w:rPr>
        <w:t xml:space="preserve">, Arbi Ben Mohamed Ben Moussa </w:t>
      </w:r>
      <w:proofErr w:type="spellStart"/>
      <w:r w:rsidRPr="00AB2E87">
        <w:rPr>
          <w:rFonts w:ascii="Times New Roman" w:eastAsia="Calibri" w:hAnsi="Times New Roman" w:cs="Times New Roman"/>
          <w:color w:val="000000"/>
          <w:kern w:val="0"/>
          <w14:ligatures w14:val="none"/>
        </w:rPr>
        <w:t>Mekni</w:t>
      </w:r>
      <w:proofErr w:type="spellEnd"/>
      <w:r w:rsidRPr="00AB2E87">
        <w:rPr>
          <w:rFonts w:ascii="Times New Roman" w:eastAsia="Calibri" w:hAnsi="Times New Roman" w:cs="Times New Roman"/>
          <w:color w:val="000000"/>
          <w:kern w:val="0"/>
          <w14:ligatures w14:val="none"/>
        </w:rPr>
        <w:t xml:space="preserve">, Mohamed Ali Ben Belgacem Ben Abdelkader </w:t>
      </w:r>
      <w:proofErr w:type="spellStart"/>
      <w:r w:rsidRPr="00AB2E87">
        <w:rPr>
          <w:rFonts w:ascii="Times New Roman" w:eastAsia="Calibri" w:hAnsi="Times New Roman" w:cs="Times New Roman"/>
          <w:color w:val="000000"/>
          <w:kern w:val="0"/>
          <w14:ligatures w14:val="none"/>
        </w:rPr>
        <w:t>Maaouia</w:t>
      </w:r>
      <w:proofErr w:type="spellEnd"/>
      <w:r w:rsidRPr="00AB2E87">
        <w:rPr>
          <w:rFonts w:ascii="Times New Roman" w:eastAsia="Calibri" w:hAnsi="Times New Roman" w:cs="Times New Roman"/>
          <w:color w:val="000000"/>
          <w:kern w:val="0"/>
          <w14:ligatures w14:val="none"/>
        </w:rPr>
        <w:t xml:space="preserve"> et </w:t>
      </w:r>
      <w:proofErr w:type="spellStart"/>
      <w:r w:rsidRPr="00AB2E87">
        <w:rPr>
          <w:rFonts w:ascii="Times New Roman" w:eastAsia="Calibri" w:hAnsi="Times New Roman" w:cs="Times New Roman"/>
          <w:color w:val="000000"/>
          <w:kern w:val="0"/>
          <w14:ligatures w14:val="none"/>
        </w:rPr>
        <w:t>Haithem</w:t>
      </w:r>
      <w:proofErr w:type="spellEnd"/>
      <w:r w:rsidRPr="00AB2E87">
        <w:rPr>
          <w:rFonts w:ascii="Times New Roman" w:eastAsia="Calibri" w:hAnsi="Times New Roman" w:cs="Times New Roman"/>
          <w:color w:val="000000"/>
          <w:kern w:val="0"/>
          <w14:ligatures w14:val="none"/>
        </w:rPr>
        <w:t xml:space="preserve"> Ben Moncef Ben Mustapha </w:t>
      </w:r>
      <w:proofErr w:type="spellStart"/>
      <w:r w:rsidRPr="00AB2E87">
        <w:rPr>
          <w:rFonts w:ascii="Times New Roman" w:eastAsia="Calibri" w:hAnsi="Times New Roman" w:cs="Times New Roman"/>
          <w:color w:val="000000"/>
          <w:kern w:val="0"/>
          <w14:ligatures w14:val="none"/>
        </w:rPr>
        <w:t>Jerbi</w:t>
      </w:r>
      <w:proofErr w:type="spellEnd"/>
      <w:r w:rsidRPr="00AB2E87">
        <w:rPr>
          <w:rFonts w:ascii="Times New Roman" w:eastAsia="Calibri" w:hAnsi="Times New Roman" w:cs="Times New Roman"/>
          <w:color w:val="000000"/>
          <w:kern w:val="0"/>
          <w14:ligatures w14:val="none"/>
        </w:rPr>
        <w:t xml:space="preserve">. Ces examens visaient prétendument à établir si les intéressés avaient « l’habitude de pratiquer la sodomie », comme le mentionne explicitement le jugement correctionnel du Tribunal de première instance de Kairouan. Dans son rapport médical, le Docteur </w:t>
      </w:r>
      <w:proofErr w:type="spellStart"/>
      <w:r w:rsidRPr="00AB2E87">
        <w:rPr>
          <w:rFonts w:ascii="Times New Roman" w:eastAsia="Calibri" w:hAnsi="Times New Roman" w:cs="Times New Roman"/>
          <w:color w:val="000000"/>
          <w:kern w:val="0"/>
          <w14:ligatures w14:val="none"/>
        </w:rPr>
        <w:t>Turki</w:t>
      </w:r>
      <w:proofErr w:type="spellEnd"/>
      <w:r w:rsidRPr="00AB2E87">
        <w:rPr>
          <w:rFonts w:ascii="Times New Roman" w:eastAsia="Calibri" w:hAnsi="Times New Roman" w:cs="Times New Roman"/>
          <w:color w:val="000000"/>
          <w:kern w:val="0"/>
          <w14:ligatures w14:val="none"/>
        </w:rPr>
        <w:t xml:space="preserve"> affirme avoir constaté des « traces de sodomie passive relativement ancienne » ainsi que des « signes de pénétration anale récents ». Ce rapport a été admis comme preuve et a directement fondé la condamnation des six prévenus à une peine de trois années d’emprisonnement sur le fondement de l’article 230 du Code pénal tunisien.</w:t>
      </w:r>
    </w:p>
    <w:p w14:paraId="660F1DBA"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6CF46061"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 xml:space="preserve">Ces pratiques s’inscrivent dans une politique répressive structurelle à l’encontre des personnes homosexuelles, rendue possible par l’inaction délibérée de l’État tunisien. Depuis l’arrivée au pouvoir du président Kaïs </w:t>
      </w:r>
      <w:proofErr w:type="spellStart"/>
      <w:r w:rsidRPr="00AB2E87">
        <w:rPr>
          <w:rFonts w:ascii="Times New Roman" w:eastAsia="Calibri" w:hAnsi="Times New Roman" w:cs="Times New Roman"/>
          <w:color w:val="000000"/>
          <w:kern w:val="0"/>
          <w14:ligatures w14:val="none"/>
        </w:rPr>
        <w:t>Saïed</w:t>
      </w:r>
      <w:proofErr w:type="spellEnd"/>
      <w:r w:rsidRPr="00AB2E87">
        <w:rPr>
          <w:rFonts w:ascii="Times New Roman" w:eastAsia="Calibri" w:hAnsi="Times New Roman" w:cs="Times New Roman"/>
          <w:color w:val="000000"/>
          <w:kern w:val="0"/>
          <w14:ligatures w14:val="none"/>
        </w:rPr>
        <w:t xml:space="preserve"> en 2019, les autorités tunisiennes se sont systématiquement abstenues de prendre les mesures nécessaires pour prévenir, sanctionner ou éradiquer les violences fondées sur l’orientation sexuelle réelle ou supposée. Cette abstention constitue une violation manifeste des obligations positives incombant à l’État en vertu du droit international des droits humains, notamment en matière de prévention de la torture et des traitements cruels, inhumains ou dégradants.</w:t>
      </w:r>
    </w:p>
    <w:p w14:paraId="76225415"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p>
    <w:p w14:paraId="1E00AABC" w14:textId="77777777" w:rsidR="00AB2E87" w:rsidRPr="00AB2E87" w:rsidRDefault="00AB2E87" w:rsidP="00AB2E87">
      <w:pPr>
        <w:suppressAutoHyphens/>
        <w:autoSpaceDN w:val="0"/>
        <w:spacing w:after="0" w:line="276" w:lineRule="auto"/>
        <w:jc w:val="both"/>
        <w:textAlignment w:val="baseline"/>
        <w:rPr>
          <w:rFonts w:ascii="Times New Roman" w:eastAsia="Calibri" w:hAnsi="Times New Roman" w:cs="Times New Roman"/>
          <w:color w:val="000000"/>
          <w:kern w:val="0"/>
          <w14:ligatures w14:val="none"/>
        </w:rPr>
      </w:pPr>
      <w:r w:rsidRPr="00AB2E87">
        <w:rPr>
          <w:rFonts w:ascii="Times New Roman" w:eastAsia="Calibri" w:hAnsi="Times New Roman" w:cs="Times New Roman"/>
          <w:color w:val="000000"/>
          <w:kern w:val="0"/>
          <w14:ligatures w14:val="none"/>
        </w:rPr>
        <w:t>Ces examens sont ordonnés par des juges d’instruction et exécutés par des médecins légistes rattachés à des établissements hospitaliers publics, agissant en leur qualité de fonctionnaires de l’État. Leur intervention, dans le cadre d’expertises judiciaires, engage directement la responsabilité de la République tunisienne, dès lors qu’il s’agit d’agents publics agissant dans l’exercice de leurs fonctions. Cette chaîne de commandement institutionnelle témoigne d’une implication directe des autorités publiques dans la commission de traitements inhumains et dégradants, contraires aux obligations internationales de l’État tunisien.</w:t>
      </w:r>
    </w:p>
    <w:p w14:paraId="3298E055" w14:textId="77777777" w:rsidR="00F77847" w:rsidRDefault="00F77847" w:rsidP="00774A66">
      <w:pPr>
        <w:spacing w:after="0"/>
        <w:jc w:val="both"/>
        <w:rPr>
          <w:rFonts w:ascii="Times New Roman" w:hAnsi="Times New Roman" w:cs="Times New Roman"/>
        </w:rPr>
      </w:pPr>
    </w:p>
    <w:p w14:paraId="73B309F5" w14:textId="7ACE278D" w:rsidR="00F77847" w:rsidRPr="00F77847" w:rsidRDefault="00F77847" w:rsidP="00774A66">
      <w:pPr>
        <w:spacing w:after="0"/>
        <w:jc w:val="both"/>
        <w:rPr>
          <w:rFonts w:ascii="Times New Roman" w:hAnsi="Times New Roman" w:cs="Times New Roman"/>
          <w:b/>
          <w:bCs/>
        </w:rPr>
      </w:pPr>
      <w:r w:rsidRPr="00F77847">
        <w:rPr>
          <w:rFonts w:ascii="Times New Roman" w:hAnsi="Times New Roman" w:cs="Times New Roman"/>
          <w:b/>
          <w:bCs/>
        </w:rPr>
        <w:t xml:space="preserve">4. Qualification juridique des actes </w:t>
      </w:r>
    </w:p>
    <w:p w14:paraId="4385E310" w14:textId="77777777" w:rsidR="009C0510" w:rsidRDefault="009C0510" w:rsidP="00774A66">
      <w:pPr>
        <w:spacing w:after="0"/>
        <w:jc w:val="both"/>
        <w:rPr>
          <w:rFonts w:ascii="Times New Roman" w:hAnsi="Times New Roman" w:cs="Times New Roman"/>
        </w:rPr>
      </w:pPr>
    </w:p>
    <w:p w14:paraId="6D77EE0F" w14:textId="506A75CB" w:rsidR="009C0510" w:rsidRPr="001B67A7" w:rsidRDefault="001B67A7" w:rsidP="001B67A7">
      <w:pPr>
        <w:pStyle w:val="Paragraphedeliste"/>
        <w:numPr>
          <w:ilvl w:val="0"/>
          <w:numId w:val="6"/>
        </w:numPr>
        <w:spacing w:after="0"/>
        <w:jc w:val="both"/>
        <w:rPr>
          <w:rFonts w:ascii="Times New Roman" w:hAnsi="Times New Roman" w:cs="Times New Roman"/>
          <w:b/>
          <w:bCs/>
        </w:rPr>
      </w:pPr>
      <w:r w:rsidRPr="001B67A7">
        <w:rPr>
          <w:rFonts w:ascii="Times New Roman" w:hAnsi="Times New Roman" w:cs="Times New Roman"/>
          <w:b/>
          <w:bCs/>
        </w:rPr>
        <w:t>Le cadre juridique applicable</w:t>
      </w:r>
    </w:p>
    <w:p w14:paraId="6B52AE35" w14:textId="77777777" w:rsidR="001B67A7" w:rsidRDefault="001B67A7" w:rsidP="001B67A7">
      <w:pPr>
        <w:spacing w:after="0"/>
        <w:jc w:val="both"/>
        <w:rPr>
          <w:rFonts w:ascii="Times New Roman" w:hAnsi="Times New Roman" w:cs="Times New Roman"/>
        </w:rPr>
      </w:pPr>
    </w:p>
    <w:p w14:paraId="0DD36D2B" w14:textId="54B4F63B" w:rsidR="00784C39" w:rsidRDefault="00784C39" w:rsidP="001B67A7">
      <w:pPr>
        <w:spacing w:after="0"/>
        <w:jc w:val="both"/>
        <w:rPr>
          <w:rFonts w:ascii="Times New Roman" w:hAnsi="Times New Roman" w:cs="Times New Roman"/>
        </w:rPr>
      </w:pPr>
      <w:r>
        <w:rPr>
          <w:rFonts w:ascii="Times New Roman" w:hAnsi="Times New Roman" w:cs="Times New Roman"/>
        </w:rPr>
        <w:lastRenderedPageBreak/>
        <w:t xml:space="preserve">La Cour pénale est compétente pour juger les crimes contre l’humanité, définis à l’article 7 du Statut de Rome comme tout acte inhumain « commis dans le cadre d’une attaque généralisée ou systématique lancée contre toute population civile et en connaissance de cette attaque ». </w:t>
      </w:r>
      <w:r w:rsidRPr="00784C39">
        <w:rPr>
          <w:rFonts w:ascii="Times New Roman" w:hAnsi="Times New Roman" w:cs="Times New Roman"/>
        </w:rPr>
        <w:t>Le Statut énumère onze catégories d’actes susceptibles de constituer des crimes contre l’humanité, parmi lesquelles figurent la torture et la persécution fondée sur des motifs discriminatoires.</w:t>
      </w:r>
      <w:r w:rsidR="00255F2B">
        <w:rPr>
          <w:rFonts w:ascii="Times New Roman" w:hAnsi="Times New Roman" w:cs="Times New Roman"/>
        </w:rPr>
        <w:t xml:space="preserve"> En tant </w:t>
      </w:r>
      <w:r w:rsidR="00255F2B" w:rsidRPr="001B67A7">
        <w:rPr>
          <w:rFonts w:ascii="Times New Roman" w:hAnsi="Times New Roman" w:cs="Times New Roman"/>
        </w:rPr>
        <w:t>qu’État partie au Statut de Rome depuis le 24 juin 2011</w:t>
      </w:r>
      <w:r w:rsidR="00255F2B">
        <w:rPr>
          <w:rFonts w:ascii="Times New Roman" w:hAnsi="Times New Roman" w:cs="Times New Roman"/>
        </w:rPr>
        <w:t>, l</w:t>
      </w:r>
      <w:r w:rsidR="00255F2B" w:rsidRPr="00255F2B">
        <w:rPr>
          <w:rFonts w:ascii="Times New Roman" w:hAnsi="Times New Roman" w:cs="Times New Roman"/>
        </w:rPr>
        <w:t xml:space="preserve">a Tunisie relève pleinement de la compétence de la Cour pour les crimes entrant dans le champ de sa compétence </w:t>
      </w:r>
      <w:proofErr w:type="spellStart"/>
      <w:r w:rsidR="00255F2B" w:rsidRPr="00255F2B">
        <w:rPr>
          <w:rFonts w:ascii="Times New Roman" w:hAnsi="Times New Roman" w:cs="Times New Roman"/>
          <w:i/>
          <w:iCs/>
        </w:rPr>
        <w:t>ratione</w:t>
      </w:r>
      <w:proofErr w:type="spellEnd"/>
      <w:r w:rsidR="00255F2B" w:rsidRPr="00255F2B">
        <w:rPr>
          <w:rFonts w:ascii="Times New Roman" w:hAnsi="Times New Roman" w:cs="Times New Roman"/>
          <w:i/>
          <w:iCs/>
        </w:rPr>
        <w:t xml:space="preserve"> </w:t>
      </w:r>
      <w:proofErr w:type="spellStart"/>
      <w:r w:rsidR="00255F2B" w:rsidRPr="00255F2B">
        <w:rPr>
          <w:rFonts w:ascii="Times New Roman" w:hAnsi="Times New Roman" w:cs="Times New Roman"/>
          <w:i/>
          <w:iCs/>
        </w:rPr>
        <w:t>loci</w:t>
      </w:r>
      <w:proofErr w:type="spellEnd"/>
      <w:r w:rsidR="00255F2B" w:rsidRPr="00255F2B">
        <w:rPr>
          <w:rFonts w:ascii="Times New Roman" w:hAnsi="Times New Roman" w:cs="Times New Roman"/>
        </w:rPr>
        <w:t xml:space="preserve"> ou </w:t>
      </w:r>
      <w:proofErr w:type="spellStart"/>
      <w:r w:rsidR="00255F2B" w:rsidRPr="00255F2B">
        <w:rPr>
          <w:rFonts w:ascii="Times New Roman" w:hAnsi="Times New Roman" w:cs="Times New Roman"/>
          <w:i/>
          <w:iCs/>
        </w:rPr>
        <w:t>ratione</w:t>
      </w:r>
      <w:proofErr w:type="spellEnd"/>
      <w:r w:rsidR="00255F2B" w:rsidRPr="00255F2B">
        <w:rPr>
          <w:rFonts w:ascii="Times New Roman" w:hAnsi="Times New Roman" w:cs="Times New Roman"/>
          <w:i/>
          <w:iCs/>
        </w:rPr>
        <w:t xml:space="preserve"> personae</w:t>
      </w:r>
      <w:r w:rsidR="00255F2B" w:rsidRPr="00255F2B">
        <w:rPr>
          <w:rFonts w:ascii="Times New Roman" w:hAnsi="Times New Roman" w:cs="Times New Roman"/>
        </w:rPr>
        <w:t>, dès lors qu’ils sont commis sur son territoire ou par ses ressortissants.</w:t>
      </w:r>
    </w:p>
    <w:p w14:paraId="46196787" w14:textId="77777777" w:rsidR="001B67A7" w:rsidRDefault="001B67A7" w:rsidP="001B67A7">
      <w:pPr>
        <w:spacing w:after="0"/>
        <w:jc w:val="both"/>
        <w:rPr>
          <w:rFonts w:ascii="Times New Roman" w:hAnsi="Times New Roman" w:cs="Times New Roman"/>
        </w:rPr>
      </w:pPr>
    </w:p>
    <w:p w14:paraId="45F25257" w14:textId="77777777" w:rsidR="008552A3" w:rsidRPr="008552A3" w:rsidRDefault="001B67A7" w:rsidP="00774A66">
      <w:pPr>
        <w:pStyle w:val="Paragraphedeliste"/>
        <w:numPr>
          <w:ilvl w:val="0"/>
          <w:numId w:val="6"/>
        </w:numPr>
        <w:spacing w:after="0"/>
        <w:jc w:val="both"/>
        <w:rPr>
          <w:rFonts w:ascii="Times New Roman" w:hAnsi="Times New Roman" w:cs="Times New Roman"/>
        </w:rPr>
      </w:pPr>
      <w:r w:rsidRPr="001B67A7">
        <w:rPr>
          <w:rFonts w:ascii="Times New Roman" w:hAnsi="Times New Roman" w:cs="Times New Roman"/>
          <w:b/>
          <w:bCs/>
        </w:rPr>
        <w:t>Torture</w:t>
      </w:r>
      <w:r>
        <w:rPr>
          <w:rFonts w:ascii="Times New Roman" w:hAnsi="Times New Roman" w:cs="Times New Roman"/>
        </w:rPr>
        <w:t xml:space="preserve"> </w:t>
      </w:r>
      <w:r w:rsidRPr="001B67A7">
        <w:rPr>
          <w:rFonts w:ascii="Times New Roman" w:hAnsi="Times New Roman" w:cs="Times New Roman"/>
          <w:b/>
          <w:bCs/>
        </w:rPr>
        <w:t>(article 7, paragraphe 1, point f)</w:t>
      </w:r>
    </w:p>
    <w:p w14:paraId="6E8F30CE" w14:textId="4F48E329" w:rsidR="00E26B55" w:rsidRDefault="00E26B55" w:rsidP="008552A3">
      <w:pPr>
        <w:spacing w:after="0"/>
        <w:jc w:val="both"/>
        <w:rPr>
          <w:rFonts w:ascii="Times New Roman" w:hAnsi="Times New Roman" w:cs="Times New Roman"/>
        </w:rPr>
      </w:pPr>
    </w:p>
    <w:p w14:paraId="274D5EB8" w14:textId="3C5660FF" w:rsidR="00E26B55" w:rsidRPr="00E26B55" w:rsidRDefault="00E26B55" w:rsidP="00E26B55">
      <w:pPr>
        <w:spacing w:after="0"/>
        <w:jc w:val="both"/>
        <w:rPr>
          <w:rFonts w:ascii="Times New Roman" w:hAnsi="Times New Roman" w:cs="Times New Roman"/>
        </w:rPr>
      </w:pPr>
      <w:r w:rsidRPr="00E26B55">
        <w:rPr>
          <w:rFonts w:ascii="Times New Roman" w:hAnsi="Times New Roman" w:cs="Times New Roman"/>
        </w:rPr>
        <w:t>Conformément à l’article 7 paragraphe 2 e) du Statut de Rome, la torture est caractère par l’infliction intentionnelle d’</w:t>
      </w:r>
      <w:r w:rsidRPr="00E26B55">
        <w:rPr>
          <w:rFonts w:ascii="Times New Roman" w:hAnsi="Times New Roman" w:cs="Times New Roman"/>
        </w:rPr>
        <w:t xml:space="preserve">une </w:t>
      </w:r>
      <w:r w:rsidRPr="00E26B55">
        <w:rPr>
          <w:rFonts w:ascii="Times New Roman" w:hAnsi="Times New Roman" w:cs="Times New Roman"/>
        </w:rPr>
        <w:t>« </w:t>
      </w:r>
      <w:r w:rsidRPr="00E26B55">
        <w:rPr>
          <w:rFonts w:ascii="Times New Roman" w:hAnsi="Times New Roman" w:cs="Times New Roman"/>
        </w:rPr>
        <w:t>douleur ou des souffrances aiguës, physiques ou mentales, à une personne se trouvant sous sa garde ou sous son contrôle</w:t>
      </w:r>
      <w:r w:rsidRPr="00E26B55">
        <w:rPr>
          <w:rFonts w:ascii="Times New Roman" w:hAnsi="Times New Roman" w:cs="Times New Roman"/>
        </w:rPr>
        <w:t xml:space="preserve"> ». </w:t>
      </w:r>
    </w:p>
    <w:p w14:paraId="5302C96B" w14:textId="77777777" w:rsidR="00E26B55" w:rsidRPr="00E26B55" w:rsidRDefault="00E26B55" w:rsidP="00E26B55">
      <w:pPr>
        <w:spacing w:after="0"/>
        <w:jc w:val="both"/>
        <w:rPr>
          <w:rFonts w:ascii="Times New Roman" w:hAnsi="Times New Roman" w:cs="Times New Roman"/>
        </w:rPr>
      </w:pPr>
    </w:p>
    <w:p w14:paraId="041FA0E1" w14:textId="77777777" w:rsidR="00E26B55" w:rsidRDefault="00E26B55" w:rsidP="00E26B55">
      <w:pPr>
        <w:spacing w:after="0"/>
        <w:jc w:val="both"/>
        <w:rPr>
          <w:rFonts w:ascii="Times New Roman" w:hAnsi="Times New Roman" w:cs="Times New Roman"/>
        </w:rPr>
      </w:pPr>
      <w:r w:rsidRPr="00E26B55">
        <w:rPr>
          <w:rFonts w:ascii="Times New Roman" w:hAnsi="Times New Roman" w:cs="Times New Roman"/>
        </w:rPr>
        <w:t>En l’espèce, les examens anaux forcés pratiqués par les autorités tunisiennes à l’encontre de personnes placées en garde à vue ou en détention provisoire remplissent les éléments constitutifs de la torture au sens de l’article 7, paragraphe 2 e) du Statut de Rome.</w:t>
      </w:r>
    </w:p>
    <w:p w14:paraId="651F0C2D" w14:textId="77777777" w:rsidR="00E26B55" w:rsidRPr="00E26B55" w:rsidRDefault="00E26B55" w:rsidP="00E26B55">
      <w:pPr>
        <w:spacing w:after="0"/>
        <w:jc w:val="both"/>
        <w:rPr>
          <w:rFonts w:ascii="Times New Roman" w:hAnsi="Times New Roman" w:cs="Times New Roman"/>
        </w:rPr>
      </w:pPr>
    </w:p>
    <w:p w14:paraId="4C6B93FB" w14:textId="3EEF93D9" w:rsidR="00E26B55" w:rsidRPr="00E26B55" w:rsidRDefault="00E26B55" w:rsidP="00E26B55">
      <w:pPr>
        <w:spacing w:after="0"/>
        <w:jc w:val="both"/>
        <w:rPr>
          <w:rFonts w:ascii="Times New Roman" w:hAnsi="Times New Roman" w:cs="Times New Roman"/>
        </w:rPr>
      </w:pPr>
      <w:r w:rsidRPr="00E26B55">
        <w:rPr>
          <w:rFonts w:ascii="Times New Roman" w:hAnsi="Times New Roman" w:cs="Times New Roman"/>
        </w:rPr>
        <w:t>D’une part, l’infliction de douleurs et de souffrances aiguës, physiques et mentales, est avérée</w:t>
      </w:r>
      <w:r w:rsidR="002F0431">
        <w:rPr>
          <w:rFonts w:ascii="Times New Roman" w:hAnsi="Times New Roman" w:cs="Times New Roman"/>
        </w:rPr>
        <w:t>. En effet, ce</w:t>
      </w:r>
      <w:r w:rsidRPr="00E26B55">
        <w:rPr>
          <w:rFonts w:ascii="Times New Roman" w:hAnsi="Times New Roman" w:cs="Times New Roman"/>
        </w:rPr>
        <w:t>s examens impliquent des pénétrations anales non consenties, souvent violentes, réalisées dans des conditions humiliantes, parfois accompagnées d’insultes ou de violences physiques. Les souffrances psychologiques rapportées par les victimes incluent un sentiment profond de honte, d’humiliation, de culpabilité. Ces actes sont également décrits comme particulièrement stigmatisants et déshumanisants par de nombreuses instances internationales.</w:t>
      </w:r>
    </w:p>
    <w:p w14:paraId="156787E3" w14:textId="77777777" w:rsidR="00E26B55" w:rsidRPr="00E26B55" w:rsidRDefault="00E26B55" w:rsidP="00E26B55">
      <w:pPr>
        <w:spacing w:after="0"/>
        <w:jc w:val="both"/>
        <w:rPr>
          <w:rFonts w:ascii="Times New Roman" w:hAnsi="Times New Roman" w:cs="Times New Roman"/>
        </w:rPr>
      </w:pPr>
    </w:p>
    <w:p w14:paraId="5618DF85" w14:textId="1EE903C0" w:rsidR="00E26B55" w:rsidRPr="00E26B55" w:rsidRDefault="00E26B55" w:rsidP="00E26B55">
      <w:pPr>
        <w:spacing w:after="0"/>
        <w:jc w:val="both"/>
        <w:rPr>
          <w:rFonts w:ascii="Times New Roman" w:hAnsi="Times New Roman" w:cs="Times New Roman"/>
        </w:rPr>
      </w:pPr>
      <w:r w:rsidRPr="00E26B55">
        <w:rPr>
          <w:rFonts w:ascii="Times New Roman" w:hAnsi="Times New Roman" w:cs="Times New Roman"/>
        </w:rPr>
        <w:t>D’autre part, la condition de garde ou de contrôle est établie</w:t>
      </w:r>
      <w:r w:rsidR="002F0431">
        <w:rPr>
          <w:rFonts w:ascii="Times New Roman" w:hAnsi="Times New Roman" w:cs="Times New Roman"/>
        </w:rPr>
        <w:t>,</w:t>
      </w:r>
      <w:r w:rsidRPr="00E26B55">
        <w:rPr>
          <w:rFonts w:ascii="Times New Roman" w:hAnsi="Times New Roman" w:cs="Times New Roman"/>
        </w:rPr>
        <w:t xml:space="preserve"> les personnes concernées étant systématiquement sous la garde de la police ou d’un juge d’instruction, dans le cadre d’enquêtes pénales ouvertes sur le fondement de l’article 230 du Code pénal tunisien. Les examens sont ordonnés par l’autorité judiciaire et réalisés par des médecins légistes mandatés par l’État dans des établissements hospitaliers publics.</w:t>
      </w:r>
    </w:p>
    <w:p w14:paraId="63DF3FD6" w14:textId="77777777" w:rsidR="00E26B55" w:rsidRPr="00E26B55" w:rsidRDefault="00E26B55" w:rsidP="00E26B55">
      <w:pPr>
        <w:spacing w:after="0"/>
        <w:jc w:val="both"/>
        <w:rPr>
          <w:rFonts w:ascii="Times New Roman" w:hAnsi="Times New Roman" w:cs="Times New Roman"/>
        </w:rPr>
      </w:pPr>
    </w:p>
    <w:p w14:paraId="1343DB45" w14:textId="3465C18E" w:rsidR="00E26B55" w:rsidRPr="00E26B55" w:rsidRDefault="00E26B55" w:rsidP="00E26B55">
      <w:pPr>
        <w:spacing w:after="0"/>
        <w:jc w:val="both"/>
        <w:rPr>
          <w:rFonts w:ascii="Times New Roman" w:hAnsi="Times New Roman" w:cs="Times New Roman"/>
        </w:rPr>
      </w:pPr>
      <w:r w:rsidRPr="00E26B55">
        <w:rPr>
          <w:rFonts w:ascii="Times New Roman" w:hAnsi="Times New Roman" w:cs="Times New Roman"/>
        </w:rPr>
        <w:t xml:space="preserve">Enfin, l’intentionnalité de l’infliction de la souffrance est démontrée </w:t>
      </w:r>
      <w:r w:rsidR="002F0431">
        <w:rPr>
          <w:rFonts w:ascii="Times New Roman" w:hAnsi="Times New Roman" w:cs="Times New Roman"/>
        </w:rPr>
        <w:t>car</w:t>
      </w:r>
      <w:r w:rsidRPr="00E26B55">
        <w:rPr>
          <w:rFonts w:ascii="Times New Roman" w:hAnsi="Times New Roman" w:cs="Times New Roman"/>
        </w:rPr>
        <w:t xml:space="preserve"> ces actes visent à obtenir une prétendue preuve d’actes homosexuels, bien que la communauté scientifique et les autorités médicales nationales et internationales aient unanimement reconnu l’absence de validité médicale de ces pratiques. L’absence de nécessité médicale, l’utilisation de ces examens comme outil de répression fondé sur l’orientation sexuelle réelle ou supposée</w:t>
      </w:r>
      <w:r w:rsidR="002F0431">
        <w:rPr>
          <w:rFonts w:ascii="Times New Roman" w:hAnsi="Times New Roman" w:cs="Times New Roman"/>
        </w:rPr>
        <w:t xml:space="preserve"> et </w:t>
      </w:r>
      <w:r w:rsidRPr="00E26B55">
        <w:rPr>
          <w:rFonts w:ascii="Times New Roman" w:hAnsi="Times New Roman" w:cs="Times New Roman"/>
        </w:rPr>
        <w:t>la pression exercée sur les victimes pour obtenir leur prétendu consentement témoignent d’une volonté manifeste d’intimider, de punir et d’humilier.</w:t>
      </w:r>
    </w:p>
    <w:p w14:paraId="65A89331" w14:textId="77777777" w:rsidR="00E26B55" w:rsidRPr="00E26B55" w:rsidRDefault="00E26B55" w:rsidP="00E26B55">
      <w:pPr>
        <w:spacing w:after="0"/>
        <w:jc w:val="both"/>
        <w:rPr>
          <w:rFonts w:ascii="Times New Roman" w:hAnsi="Times New Roman" w:cs="Times New Roman"/>
        </w:rPr>
      </w:pPr>
    </w:p>
    <w:p w14:paraId="2D3F9366" w14:textId="711F8804" w:rsidR="00E26B55" w:rsidRPr="00E26B55" w:rsidRDefault="002F0431" w:rsidP="00E26B55">
      <w:pPr>
        <w:spacing w:after="0"/>
        <w:jc w:val="both"/>
        <w:rPr>
          <w:rFonts w:ascii="Times New Roman" w:hAnsi="Times New Roman" w:cs="Times New Roman"/>
        </w:rPr>
      </w:pPr>
      <w:r>
        <w:rPr>
          <w:rFonts w:ascii="Times New Roman" w:hAnsi="Times New Roman" w:cs="Times New Roman"/>
        </w:rPr>
        <w:t>En définitive</w:t>
      </w:r>
      <w:r w:rsidR="00E26B55" w:rsidRPr="00E26B55">
        <w:rPr>
          <w:rFonts w:ascii="Times New Roman" w:hAnsi="Times New Roman" w:cs="Times New Roman"/>
        </w:rPr>
        <w:t>, ces examens anaux forcés, pratiqués de manière systématique et encadrés par les institutions de l’État tunisien, doivent être qualifiés de torture au sens du Statut de Rome.</w:t>
      </w:r>
    </w:p>
    <w:p w14:paraId="714E1CB5" w14:textId="77777777" w:rsidR="00E26B55" w:rsidRDefault="00E26B55" w:rsidP="00E26B55">
      <w:pPr>
        <w:spacing w:after="0"/>
        <w:jc w:val="both"/>
        <w:rPr>
          <w:rFonts w:ascii="Times New Roman" w:hAnsi="Times New Roman" w:cs="Times New Roman"/>
        </w:rPr>
      </w:pPr>
    </w:p>
    <w:p w14:paraId="113A60D5" w14:textId="77777777" w:rsidR="00E26B55" w:rsidRDefault="00E26B55" w:rsidP="008552A3">
      <w:pPr>
        <w:spacing w:after="0"/>
        <w:jc w:val="both"/>
        <w:rPr>
          <w:rFonts w:ascii="Times New Roman" w:hAnsi="Times New Roman" w:cs="Times New Roman"/>
        </w:rPr>
      </w:pPr>
    </w:p>
    <w:p w14:paraId="5AA33CAF" w14:textId="77777777" w:rsidR="00E26B55" w:rsidRPr="008552A3" w:rsidRDefault="00E26B55" w:rsidP="008552A3">
      <w:pPr>
        <w:spacing w:after="0"/>
        <w:jc w:val="both"/>
        <w:rPr>
          <w:rFonts w:ascii="Times New Roman" w:hAnsi="Times New Roman" w:cs="Times New Roman"/>
        </w:rPr>
      </w:pPr>
    </w:p>
    <w:p w14:paraId="4B72B620" w14:textId="77777777" w:rsidR="008552A3" w:rsidRPr="008552A3" w:rsidRDefault="008552A3" w:rsidP="008552A3">
      <w:pPr>
        <w:spacing w:after="0"/>
        <w:jc w:val="both"/>
        <w:rPr>
          <w:rFonts w:ascii="Times New Roman" w:hAnsi="Times New Roman" w:cs="Times New Roman"/>
        </w:rPr>
      </w:pPr>
    </w:p>
    <w:p w14:paraId="5C896E06" w14:textId="75D34B07" w:rsidR="001B67A7" w:rsidRPr="00784C39" w:rsidRDefault="008552A3" w:rsidP="00774A66">
      <w:pPr>
        <w:pStyle w:val="Paragraphedeliste"/>
        <w:numPr>
          <w:ilvl w:val="0"/>
          <w:numId w:val="6"/>
        </w:numPr>
        <w:spacing w:after="0"/>
        <w:jc w:val="both"/>
        <w:rPr>
          <w:rFonts w:ascii="Times New Roman" w:hAnsi="Times New Roman" w:cs="Times New Roman"/>
        </w:rPr>
      </w:pPr>
      <w:r w:rsidRPr="008552A3">
        <w:rPr>
          <w:rFonts w:ascii="Times New Roman" w:hAnsi="Times New Roman" w:cs="Times New Roman"/>
          <w:b/>
          <w:bCs/>
        </w:rPr>
        <w:t>Élément contextuel : attaque généralisée ou systématique</w:t>
      </w:r>
    </w:p>
    <w:p w14:paraId="5765F374" w14:textId="77777777" w:rsidR="00784C39" w:rsidRDefault="00784C39" w:rsidP="00784C39">
      <w:pPr>
        <w:spacing w:after="0"/>
        <w:jc w:val="both"/>
        <w:rPr>
          <w:rFonts w:ascii="Times New Roman" w:hAnsi="Times New Roman" w:cs="Times New Roman"/>
        </w:rPr>
      </w:pPr>
    </w:p>
    <w:p w14:paraId="3780B517" w14:textId="66200F82" w:rsidR="002F0431" w:rsidRDefault="002F0431" w:rsidP="00784C39">
      <w:pPr>
        <w:spacing w:after="0"/>
        <w:jc w:val="both"/>
        <w:rPr>
          <w:rFonts w:ascii="Times New Roman" w:hAnsi="Times New Roman" w:cs="Times New Roman"/>
        </w:rPr>
      </w:pPr>
      <w:r w:rsidRPr="002F0431">
        <w:rPr>
          <w:rFonts w:ascii="Times New Roman" w:hAnsi="Times New Roman" w:cs="Times New Roman"/>
        </w:rPr>
        <w:t>La qualification de crime contre l’humanité, au sens de l’article 7 du Statut de Rome, repose sur la commission d’un ou plusieurs actes parmi ceux énumérés limitativement par le texte, dans un contexte particulier. Ces actes, bien qu’individuels, doivent être inscrits dans le cadre d’une attaque généralisée ou systématique dirigée contre une population civile.</w:t>
      </w:r>
      <w:r w:rsidRPr="002F0431">
        <w:rPr>
          <w:rFonts w:ascii="Times New Roman" w:hAnsi="Times New Roman" w:cs="Times New Roman"/>
        </w:rPr>
        <w:t xml:space="preserve"> </w:t>
      </w:r>
      <w:r w:rsidRPr="002F0431">
        <w:rPr>
          <w:rFonts w:ascii="Times New Roman" w:hAnsi="Times New Roman" w:cs="Times New Roman"/>
        </w:rPr>
        <w:t>Il ne suffit donc pas que l’acte soit en lui-même prohibé par le droit international</w:t>
      </w:r>
      <w:r>
        <w:rPr>
          <w:rFonts w:ascii="Times New Roman" w:hAnsi="Times New Roman" w:cs="Times New Roman"/>
        </w:rPr>
        <w:t xml:space="preserve">, </w:t>
      </w:r>
      <w:r w:rsidRPr="002F0431">
        <w:rPr>
          <w:rFonts w:ascii="Times New Roman" w:hAnsi="Times New Roman" w:cs="Times New Roman"/>
        </w:rPr>
        <w:t xml:space="preserve">il doit être commis dans le cadre d’une attaque répondant à des critères précis. Selon la jurisprudence constante du Tribunal pénal international pour l’ex-Yougoslavie, notamment dans l’arrêt </w:t>
      </w:r>
      <w:r w:rsidRPr="002F0431">
        <w:rPr>
          <w:rFonts w:ascii="Times New Roman" w:hAnsi="Times New Roman" w:cs="Times New Roman"/>
          <w:i/>
          <w:iCs/>
        </w:rPr>
        <w:t>Le Procureur c. Kunarac</w:t>
      </w:r>
      <w:r w:rsidRPr="002F0431">
        <w:rPr>
          <w:rFonts w:ascii="Times New Roman" w:hAnsi="Times New Roman" w:cs="Times New Roman"/>
        </w:rPr>
        <w:t xml:space="preserve"> du 22 février 2001, une telle attaque suppose « une campagne de violence comportant la répétition de comportements criminels ». Autrement dit, l’attaque doit soit revêtir un caractère généralisé, c’est-à-dire affecter un grand nombre de victimes ou se déployer sur une vaste zone géographique, soit être systématique, c’est-à-dire résulter d’une politique étatique ou organisationnelle coordonnée.</w:t>
      </w:r>
      <w:r w:rsidRPr="002F0431">
        <w:rPr>
          <w:rFonts w:ascii="Times New Roman" w:hAnsi="Times New Roman" w:cs="Times New Roman"/>
        </w:rPr>
        <w:t xml:space="preserve"> </w:t>
      </w:r>
      <w:r w:rsidRPr="002F0431">
        <w:rPr>
          <w:rFonts w:ascii="Times New Roman" w:hAnsi="Times New Roman" w:cs="Times New Roman"/>
        </w:rPr>
        <w:t>En outre, l’attaque doit être dirigée contre des civils, à l’exclusion de cibles militaires, conformément à l’exigence de protection de la population civile en droit international humanitaire et en droit pénal international.</w:t>
      </w:r>
      <w:r w:rsidRPr="002F0431">
        <w:rPr>
          <w:rFonts w:ascii="Times New Roman" w:hAnsi="Times New Roman" w:cs="Times New Roman"/>
          <w:vanish/>
        </w:rPr>
        <w:t>Bas du formulaire</w:t>
      </w:r>
    </w:p>
    <w:p w14:paraId="5016BBB2" w14:textId="77777777" w:rsidR="00784C39" w:rsidRDefault="00784C39" w:rsidP="00784C39">
      <w:pPr>
        <w:spacing w:after="0"/>
        <w:jc w:val="both"/>
        <w:rPr>
          <w:rFonts w:ascii="Times New Roman" w:hAnsi="Times New Roman" w:cs="Times New Roman"/>
          <w:color w:val="000000" w:themeColor="text1"/>
        </w:rPr>
      </w:pPr>
    </w:p>
    <w:p w14:paraId="4C8628E3" w14:textId="77777777" w:rsidR="00E01398" w:rsidRPr="00E01398" w:rsidRDefault="003E7E77" w:rsidP="00E01398">
      <w:pPr>
        <w:spacing w:after="0"/>
        <w:jc w:val="both"/>
        <w:rPr>
          <w:rFonts w:ascii="Times New Roman" w:hAnsi="Times New Roman" w:cs="Times New Roman"/>
          <w:color w:val="000000" w:themeColor="text1"/>
        </w:rPr>
      </w:pPr>
      <w:r w:rsidRPr="00E01398">
        <w:rPr>
          <w:rFonts w:ascii="Times New Roman" w:hAnsi="Times New Roman" w:cs="Times New Roman"/>
          <w:color w:val="000000" w:themeColor="text1"/>
        </w:rPr>
        <w:t xml:space="preserve">En l’espèce, </w:t>
      </w:r>
      <w:r w:rsidR="00E01398" w:rsidRPr="00E01398">
        <w:rPr>
          <w:rFonts w:ascii="Times New Roman" w:hAnsi="Times New Roman" w:cs="Times New Roman"/>
          <w:color w:val="000000" w:themeColor="text1"/>
        </w:rPr>
        <w:t>les éléments de contexte requis par l’article 7 du Statut de Rome sont réunis.</w:t>
      </w:r>
    </w:p>
    <w:p w14:paraId="1136E946" w14:textId="77777777" w:rsidR="00E01398" w:rsidRDefault="00E01398" w:rsidP="00E01398">
      <w:pPr>
        <w:spacing w:after="0"/>
        <w:jc w:val="both"/>
        <w:rPr>
          <w:rFonts w:ascii="Times New Roman" w:hAnsi="Times New Roman" w:cs="Times New Roman"/>
          <w:color w:val="000000" w:themeColor="text1"/>
        </w:rPr>
      </w:pPr>
    </w:p>
    <w:p w14:paraId="51DB7A9C" w14:textId="32141196" w:rsidR="00E01398" w:rsidRPr="00E01398" w:rsidRDefault="00E01398" w:rsidP="00E01398">
      <w:pPr>
        <w:spacing w:after="0"/>
        <w:jc w:val="both"/>
        <w:rPr>
          <w:rFonts w:ascii="Times New Roman" w:hAnsi="Times New Roman" w:cs="Times New Roman"/>
          <w:color w:val="000000" w:themeColor="text1"/>
        </w:rPr>
      </w:pPr>
      <w:r w:rsidRPr="00E01398">
        <w:rPr>
          <w:rFonts w:ascii="Times New Roman" w:hAnsi="Times New Roman" w:cs="Times New Roman"/>
          <w:color w:val="000000" w:themeColor="text1"/>
        </w:rPr>
        <w:t xml:space="preserve">D’une part, les examens anaux forcés sont commis contre des civils, en l’occurrence des personnes perçues comme homosexuelles, en raison de leur orientation sexuelle réelle ou supposée. Ces personnes ne participent à aucun conflit armé et n’exercent aucune fonction de nature militaire, </w:t>
      </w:r>
      <w:r>
        <w:rPr>
          <w:rFonts w:ascii="Times New Roman" w:hAnsi="Times New Roman" w:cs="Times New Roman"/>
          <w:color w:val="000000" w:themeColor="text1"/>
        </w:rPr>
        <w:t xml:space="preserve">satisfaisant </w:t>
      </w:r>
      <w:r w:rsidRPr="00E01398">
        <w:rPr>
          <w:rFonts w:ascii="Times New Roman" w:hAnsi="Times New Roman" w:cs="Times New Roman"/>
          <w:color w:val="000000" w:themeColor="text1"/>
        </w:rPr>
        <w:t>l’exigence d’une attaque dirigée contre une population civile.</w:t>
      </w:r>
    </w:p>
    <w:p w14:paraId="06AFABD0" w14:textId="77777777" w:rsidR="00E01398" w:rsidRDefault="00E01398" w:rsidP="00E01398">
      <w:pPr>
        <w:spacing w:after="0"/>
        <w:jc w:val="both"/>
        <w:rPr>
          <w:rFonts w:ascii="Times New Roman" w:hAnsi="Times New Roman" w:cs="Times New Roman"/>
          <w:color w:val="000000" w:themeColor="text1"/>
        </w:rPr>
      </w:pPr>
    </w:p>
    <w:p w14:paraId="6BFB8CF5" w14:textId="4608695B" w:rsidR="00E01398" w:rsidRDefault="00E01398" w:rsidP="00E01398">
      <w:pPr>
        <w:spacing w:after="0"/>
        <w:jc w:val="both"/>
        <w:rPr>
          <w:rFonts w:ascii="Times New Roman" w:hAnsi="Times New Roman" w:cs="Times New Roman"/>
          <w:color w:val="000000" w:themeColor="text1"/>
        </w:rPr>
      </w:pPr>
      <w:r w:rsidRPr="00E01398">
        <w:rPr>
          <w:rFonts w:ascii="Times New Roman" w:hAnsi="Times New Roman" w:cs="Times New Roman"/>
          <w:color w:val="000000" w:themeColor="text1"/>
        </w:rPr>
        <w:t>D’autre part, ces actes s’inscrivent dans le cadre d’une attaque systématique, en ce qu’ils procèdent d’une politique étatique clairement identifiable, visant à réprimer l’homosexualité à travers l’usage d’examens médicaux forcés à des fins prétendument probatoires. Cette politique se manifeste par la criminalisation explicite des relations homosexuelles à travers l’article 230 du Code pénal tunisien, par la réquisition régulière et répétée d’examens anaux ordonnés par des juges d’instruction, et par leur exécution systématique par des médecins légistes agissant en qualité d’agents de l’État. Ces pratiques, loin d’être isolées, sont documentées sur plusieurs années, dans des procédures judiciaires formelles et sont soutenues par l’usage d’un appareil institutionnel organisé (tribunaux, police, médecins assermentés).</w:t>
      </w:r>
    </w:p>
    <w:p w14:paraId="046F89DC" w14:textId="77777777" w:rsidR="00E01398" w:rsidRPr="00E01398" w:rsidRDefault="00E01398" w:rsidP="00E01398">
      <w:pPr>
        <w:spacing w:after="0"/>
        <w:jc w:val="both"/>
        <w:rPr>
          <w:rFonts w:ascii="Times New Roman" w:hAnsi="Times New Roman" w:cs="Times New Roman"/>
          <w:color w:val="000000" w:themeColor="text1"/>
        </w:rPr>
      </w:pPr>
    </w:p>
    <w:p w14:paraId="2C5B8E7D" w14:textId="35626C5C" w:rsidR="00E01398" w:rsidRPr="00E01398" w:rsidRDefault="00E01398" w:rsidP="00E01398">
      <w:pPr>
        <w:spacing w:after="0"/>
        <w:jc w:val="both"/>
        <w:rPr>
          <w:rFonts w:ascii="Times New Roman" w:hAnsi="Times New Roman" w:cs="Times New Roman"/>
          <w:color w:val="000000" w:themeColor="text1"/>
        </w:rPr>
      </w:pPr>
      <w:r w:rsidRPr="00E01398">
        <w:rPr>
          <w:rFonts w:ascii="Times New Roman" w:hAnsi="Times New Roman" w:cs="Times New Roman"/>
          <w:color w:val="000000" w:themeColor="text1"/>
        </w:rPr>
        <w:t xml:space="preserve">Il en résulte que ces actes, commis de manière planifiée, récurrente et institutionnalisée, participent d’une attaque systématique dirigée contre un groupe déterminé de civils, sur la base d’un critère discriminatoire, à savoir l’orientation sexuelle. </w:t>
      </w:r>
      <w:r>
        <w:rPr>
          <w:rFonts w:ascii="Times New Roman" w:hAnsi="Times New Roman" w:cs="Times New Roman"/>
          <w:color w:val="000000" w:themeColor="text1"/>
        </w:rPr>
        <w:t>Par conséquent, i</w:t>
      </w:r>
      <w:r w:rsidRPr="00E01398">
        <w:rPr>
          <w:rFonts w:ascii="Times New Roman" w:hAnsi="Times New Roman" w:cs="Times New Roman"/>
          <w:color w:val="000000" w:themeColor="text1"/>
        </w:rPr>
        <w:t>ls satisfont pleinement aux conditions de contextualisation du crime contre l’humanité, telles que définies à l’article 7 du Statut de Rome et interprétées par la jurisprudence internationale.</w:t>
      </w:r>
    </w:p>
    <w:p w14:paraId="7A115C13" w14:textId="4F761213" w:rsidR="003E7E77" w:rsidRPr="00E01398" w:rsidRDefault="003E7E77" w:rsidP="00784C39">
      <w:pPr>
        <w:spacing w:after="0"/>
        <w:jc w:val="both"/>
        <w:rPr>
          <w:rFonts w:ascii="Times New Roman" w:hAnsi="Times New Roman" w:cs="Times New Roman"/>
          <w:color w:val="000000" w:themeColor="text1"/>
        </w:rPr>
      </w:pPr>
    </w:p>
    <w:p w14:paraId="07CB8A92" w14:textId="77777777" w:rsidR="00784C39" w:rsidRPr="00216E5D" w:rsidRDefault="00784C39" w:rsidP="00784C39">
      <w:pPr>
        <w:spacing w:after="0"/>
        <w:jc w:val="both"/>
        <w:rPr>
          <w:rFonts w:ascii="Times New Roman" w:hAnsi="Times New Roman" w:cs="Times New Roman"/>
        </w:rPr>
      </w:pPr>
    </w:p>
    <w:p w14:paraId="4EE7B842" w14:textId="0AFBA4D4" w:rsidR="00784C39" w:rsidRPr="008552A3" w:rsidRDefault="00784C39" w:rsidP="00774A66">
      <w:pPr>
        <w:pStyle w:val="Paragraphedeliste"/>
        <w:numPr>
          <w:ilvl w:val="0"/>
          <w:numId w:val="6"/>
        </w:numPr>
        <w:spacing w:after="0"/>
        <w:jc w:val="both"/>
        <w:rPr>
          <w:rFonts w:ascii="Times New Roman" w:hAnsi="Times New Roman" w:cs="Times New Roman"/>
        </w:rPr>
      </w:pPr>
      <w:r w:rsidRPr="00784C39">
        <w:rPr>
          <w:rFonts w:ascii="Times New Roman" w:hAnsi="Times New Roman" w:cs="Times New Roman"/>
          <w:b/>
          <w:bCs/>
        </w:rPr>
        <w:t>Responsabilité pénale individuelle</w:t>
      </w:r>
    </w:p>
    <w:p w14:paraId="7C62BC90" w14:textId="77777777" w:rsidR="008552A3" w:rsidRDefault="008552A3" w:rsidP="00774A66">
      <w:pPr>
        <w:spacing w:after="0"/>
        <w:jc w:val="both"/>
        <w:rPr>
          <w:rFonts w:ascii="Times New Roman" w:hAnsi="Times New Roman" w:cs="Times New Roman"/>
          <w:b/>
          <w:bCs/>
        </w:rPr>
      </w:pPr>
    </w:p>
    <w:p w14:paraId="2F4E6AED" w14:textId="7AACAD55" w:rsidR="00C90FEF" w:rsidRPr="00C90FEF" w:rsidRDefault="00C90FEF" w:rsidP="00C90FEF">
      <w:pPr>
        <w:spacing w:after="0"/>
        <w:jc w:val="both"/>
        <w:rPr>
          <w:rFonts w:ascii="Times New Roman" w:hAnsi="Times New Roman" w:cs="Times New Roman"/>
        </w:rPr>
      </w:pPr>
      <w:r w:rsidRPr="00C90FEF">
        <w:rPr>
          <w:rFonts w:ascii="Times New Roman" w:hAnsi="Times New Roman" w:cs="Times New Roman"/>
        </w:rPr>
        <w:t xml:space="preserve">Le président Kaïs </w:t>
      </w:r>
      <w:proofErr w:type="spellStart"/>
      <w:r w:rsidRPr="00C90FEF">
        <w:rPr>
          <w:rFonts w:ascii="Times New Roman" w:hAnsi="Times New Roman" w:cs="Times New Roman"/>
        </w:rPr>
        <w:t>Saïed</w:t>
      </w:r>
      <w:proofErr w:type="spellEnd"/>
      <w:r w:rsidRPr="00C90FEF">
        <w:rPr>
          <w:rFonts w:ascii="Times New Roman" w:hAnsi="Times New Roman" w:cs="Times New Roman"/>
        </w:rPr>
        <w:t>, en tant que chef de l’État et commandant suprême des forces armées, détient une autorité directe sur les institutions impliquées dans la répression de la communauté LGBTQ+. Sa responsabilité pénale individuelle peut être engagée en vertu de l’article 25 du Statut de Rome, qui prévoit la responsabilité des personnes pour les crimes relevant de la compétence de la Cour</w:t>
      </w:r>
      <w:r w:rsidRPr="00C90FEF">
        <w:rPr>
          <w:rFonts w:ascii="Times New Roman" w:hAnsi="Times New Roman" w:cs="Times New Roman"/>
        </w:rPr>
        <w:t>.</w:t>
      </w:r>
    </w:p>
    <w:p w14:paraId="6BADBB36" w14:textId="77777777" w:rsidR="00C90FEF" w:rsidRDefault="00C90FEF" w:rsidP="00774A66">
      <w:pPr>
        <w:spacing w:after="0"/>
        <w:jc w:val="both"/>
        <w:rPr>
          <w:rFonts w:ascii="Times New Roman" w:hAnsi="Times New Roman" w:cs="Times New Roman"/>
          <w:b/>
          <w:bCs/>
        </w:rPr>
      </w:pPr>
    </w:p>
    <w:p w14:paraId="4FD13A45" w14:textId="50190A52" w:rsidR="00C90FEF" w:rsidRPr="00C90FEF" w:rsidRDefault="00C90FEF" w:rsidP="00774A66">
      <w:pPr>
        <w:spacing w:after="0"/>
        <w:jc w:val="both"/>
        <w:rPr>
          <w:rFonts w:ascii="Times New Roman" w:hAnsi="Times New Roman" w:cs="Times New Roman"/>
        </w:rPr>
      </w:pPr>
      <w:r w:rsidRPr="00C90FEF">
        <w:rPr>
          <w:rFonts w:ascii="Times New Roman" w:hAnsi="Times New Roman" w:cs="Times New Roman"/>
        </w:rPr>
        <w:t xml:space="preserve">De même, la responsabilité pénale individuelle des médecins légistes ayant procédé aux examens anaux forcés peut être engagée au titre de l’article 25 du Statut de Rome. En tant qu’agents de l’État, ces praticiens agissent en connaissance de cause et avec intention, en participant activement à la perpétration d’actes pouvant constituer des crimes contre l’humanité, en particulier la torture et la persécution. Les docteurs Moncef </w:t>
      </w:r>
      <w:proofErr w:type="spellStart"/>
      <w:r w:rsidRPr="00C90FEF">
        <w:rPr>
          <w:rFonts w:ascii="Times New Roman" w:hAnsi="Times New Roman" w:cs="Times New Roman"/>
        </w:rPr>
        <w:t>Hamdoum</w:t>
      </w:r>
      <w:proofErr w:type="spellEnd"/>
      <w:r w:rsidRPr="00C90FEF">
        <w:rPr>
          <w:rFonts w:ascii="Times New Roman" w:hAnsi="Times New Roman" w:cs="Times New Roman"/>
        </w:rPr>
        <w:t xml:space="preserve">, Mehdi Ben </w:t>
      </w:r>
      <w:proofErr w:type="spellStart"/>
      <w:r w:rsidRPr="00C90FEF">
        <w:rPr>
          <w:rFonts w:ascii="Times New Roman" w:hAnsi="Times New Roman" w:cs="Times New Roman"/>
        </w:rPr>
        <w:t>Khelil</w:t>
      </w:r>
      <w:proofErr w:type="spellEnd"/>
      <w:r w:rsidRPr="00C90FEF">
        <w:rPr>
          <w:rFonts w:ascii="Times New Roman" w:hAnsi="Times New Roman" w:cs="Times New Roman"/>
        </w:rPr>
        <w:t xml:space="preserve">, Mohamed Allouche et Ilyes </w:t>
      </w:r>
      <w:proofErr w:type="spellStart"/>
      <w:r w:rsidRPr="00C90FEF">
        <w:rPr>
          <w:rFonts w:ascii="Times New Roman" w:hAnsi="Times New Roman" w:cs="Times New Roman"/>
        </w:rPr>
        <w:t>Turki</w:t>
      </w:r>
      <w:proofErr w:type="spellEnd"/>
      <w:r w:rsidRPr="00C90FEF">
        <w:rPr>
          <w:rFonts w:ascii="Times New Roman" w:hAnsi="Times New Roman" w:cs="Times New Roman"/>
        </w:rPr>
        <w:t xml:space="preserve"> sont explicitement identifiés dans plusieurs procédures judiciaires comme ayant pratiqué ces examens à la demande d’autorités judiciaires ou policières. En se prêtant à ces pratiques médicalement injustifiables, contraires à l’éthique professionnelle et constitutives de traitements inhumains et dégradants, ces médecins deviennent auteurs directs ou, à tout le moins, complices d’actes prohibés par le droit international pénal.</w:t>
      </w:r>
    </w:p>
    <w:p w14:paraId="26C169FF" w14:textId="77777777" w:rsidR="00C90FEF" w:rsidRDefault="00C90FEF" w:rsidP="00774A66">
      <w:pPr>
        <w:spacing w:after="0"/>
        <w:jc w:val="both"/>
        <w:rPr>
          <w:rFonts w:ascii="Times New Roman" w:hAnsi="Times New Roman" w:cs="Times New Roman"/>
          <w:b/>
          <w:bCs/>
        </w:rPr>
      </w:pPr>
    </w:p>
    <w:p w14:paraId="4035F627" w14:textId="77F2381D" w:rsidR="00F77847" w:rsidRPr="00F77847" w:rsidRDefault="00F77847" w:rsidP="00774A66">
      <w:pPr>
        <w:spacing w:after="0"/>
        <w:jc w:val="both"/>
        <w:rPr>
          <w:rFonts w:ascii="Times New Roman" w:hAnsi="Times New Roman" w:cs="Times New Roman"/>
          <w:b/>
          <w:bCs/>
        </w:rPr>
      </w:pPr>
      <w:r w:rsidRPr="00F77847">
        <w:rPr>
          <w:rFonts w:ascii="Times New Roman" w:hAnsi="Times New Roman" w:cs="Times New Roman"/>
          <w:b/>
          <w:bCs/>
        </w:rPr>
        <w:t xml:space="preserve">5. Violation de la Constitution tunisienne et des engagements internationaux </w:t>
      </w:r>
    </w:p>
    <w:p w14:paraId="01164618" w14:textId="77777777" w:rsidR="00F77847" w:rsidRDefault="00F77847" w:rsidP="00774A66">
      <w:pPr>
        <w:spacing w:after="0"/>
        <w:jc w:val="both"/>
        <w:rPr>
          <w:rFonts w:ascii="Times New Roman" w:hAnsi="Times New Roman" w:cs="Times New Roman"/>
        </w:rPr>
      </w:pPr>
    </w:p>
    <w:p w14:paraId="4541B782" w14:textId="56F3EC54" w:rsidR="00774A66" w:rsidRDefault="00E26B55" w:rsidP="00F9512E">
      <w:pPr>
        <w:spacing w:after="0"/>
        <w:jc w:val="both"/>
        <w:rPr>
          <w:rFonts w:ascii="Times New Roman" w:eastAsia="Calibri" w:hAnsi="Times New Roman" w:cs="Times New Roman"/>
          <w:color w:val="000000"/>
          <w:kern w:val="0"/>
          <w14:ligatures w14:val="none"/>
        </w:rPr>
      </w:pPr>
      <w:r w:rsidRPr="00E26B55">
        <w:rPr>
          <w:rFonts w:ascii="Times New Roman" w:eastAsia="Calibri" w:hAnsi="Times New Roman" w:cs="Times New Roman"/>
          <w:color w:val="000000"/>
          <w:kern w:val="0"/>
          <w14:ligatures w14:val="none"/>
        </w:rPr>
        <w:t>Le recours aux examens anaux forcés en Tunisie constitue une violation grave des normes nationales et internationales prohibant la torture et les traitements inhumains ou dégradants.</w:t>
      </w:r>
    </w:p>
    <w:p w14:paraId="71F62C59" w14:textId="77777777" w:rsidR="00E26B55" w:rsidRDefault="00E26B55" w:rsidP="00F9512E">
      <w:pPr>
        <w:spacing w:after="0"/>
        <w:jc w:val="both"/>
        <w:rPr>
          <w:rFonts w:ascii="Times New Roman" w:eastAsia="Calibri" w:hAnsi="Times New Roman" w:cs="Times New Roman"/>
          <w:color w:val="000000"/>
          <w:kern w:val="0"/>
          <w14:ligatures w14:val="none"/>
        </w:rPr>
      </w:pPr>
    </w:p>
    <w:p w14:paraId="0CE5D234" w14:textId="5C4C92E2" w:rsidR="002F0431" w:rsidRDefault="002F0431" w:rsidP="002F0431">
      <w:pPr>
        <w:spacing w:after="0"/>
        <w:jc w:val="both"/>
        <w:rPr>
          <w:rFonts w:ascii="Times New Roman" w:eastAsia="Calibri" w:hAnsi="Times New Roman" w:cs="Times New Roman"/>
          <w:color w:val="000000"/>
          <w:kern w:val="0"/>
          <w14:ligatures w14:val="none"/>
        </w:rPr>
      </w:pPr>
      <w:r w:rsidRPr="002F0431">
        <w:rPr>
          <w:rFonts w:ascii="Times New Roman" w:eastAsia="Calibri" w:hAnsi="Times New Roman" w:cs="Times New Roman"/>
          <w:color w:val="000000"/>
          <w:kern w:val="0"/>
          <w14:ligatures w14:val="none"/>
        </w:rPr>
        <w:t xml:space="preserve">L’article 23 de la Constitution tunisienne </w:t>
      </w:r>
      <w:r w:rsidRPr="002F0431">
        <w:rPr>
          <w:rFonts w:ascii="Times New Roman" w:eastAsia="Calibri" w:hAnsi="Times New Roman" w:cs="Times New Roman"/>
          <w:color w:val="000000"/>
          <w:kern w:val="0"/>
          <w14:ligatures w14:val="none"/>
        </w:rPr>
        <w:t>interdit la torture et garantit la dignité humaine.</w:t>
      </w:r>
      <w:r w:rsidRPr="002F0431">
        <w:rPr>
          <w:rFonts w:ascii="Times New Roman" w:eastAsia="Calibri" w:hAnsi="Times New Roman" w:cs="Times New Roman"/>
          <w:color w:val="000000"/>
          <w:kern w:val="0"/>
          <w14:ligatures w14:val="none"/>
        </w:rPr>
        <w:t xml:space="preserve"> </w:t>
      </w:r>
      <w:r w:rsidRPr="002F0431">
        <w:rPr>
          <w:rFonts w:ascii="Times New Roman" w:eastAsia="Calibri" w:hAnsi="Times New Roman" w:cs="Times New Roman"/>
          <w:color w:val="000000"/>
          <w:kern w:val="0"/>
          <w14:ligatures w14:val="none"/>
        </w:rPr>
        <w:t>En l’espèce, les examens anaux forcés sont imposés sans consentement, dans un cadre coercitif par des agents de l’État agissant dans l’exercice de leurs fonctions. Ils provoquent une souffrance physique et psychologique intense et durable, telle que documentée par des groupes d’experts médico-légaux indépendants. Ils sont réalisés dans un but punitif et discriminatoire, visant à établir ou à réprimer une orientation sexuelle réelle ou supposée. Cela est contraire à la dignité humaine.</w:t>
      </w:r>
      <w:r w:rsidRPr="002F0431">
        <w:rPr>
          <w:rFonts w:ascii="Times New Roman" w:eastAsia="Calibri" w:hAnsi="Times New Roman" w:cs="Times New Roman"/>
          <w:color w:val="000000"/>
          <w:kern w:val="0"/>
          <w14:ligatures w14:val="none"/>
        </w:rPr>
        <w:t xml:space="preserve"> </w:t>
      </w:r>
      <w:r w:rsidRPr="002F0431">
        <w:rPr>
          <w:rFonts w:ascii="Times New Roman" w:eastAsia="Calibri" w:hAnsi="Times New Roman" w:cs="Times New Roman"/>
          <w:color w:val="000000"/>
          <w:kern w:val="0"/>
          <w14:ligatures w14:val="none"/>
        </w:rPr>
        <w:t>En définitive, le recours aux examens anaux forcés représente une violation manifeste de cette disposition constitutionnelle.</w:t>
      </w:r>
    </w:p>
    <w:p w14:paraId="57D0D1BE" w14:textId="77777777" w:rsidR="002F0431" w:rsidRDefault="002F0431" w:rsidP="002F0431">
      <w:pPr>
        <w:spacing w:after="0"/>
        <w:jc w:val="both"/>
        <w:rPr>
          <w:rFonts w:ascii="Times New Roman" w:eastAsia="Calibri" w:hAnsi="Times New Roman" w:cs="Times New Roman"/>
          <w:color w:val="000000"/>
          <w:kern w:val="0"/>
          <w14:ligatures w14:val="none"/>
        </w:rPr>
      </w:pPr>
    </w:p>
    <w:p w14:paraId="4790AF36" w14:textId="1AA6DF9C" w:rsidR="002F0431" w:rsidRPr="002F0431" w:rsidRDefault="002F0431" w:rsidP="002F0431">
      <w:pPr>
        <w:spacing w:after="0"/>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Cette pratique est également contraire à l’article 5 de la Charte africaine des droits de l’homme et des peuples, qui </w:t>
      </w:r>
      <w:r w:rsidRPr="002F0431">
        <w:rPr>
          <w:rFonts w:ascii="Times New Roman" w:eastAsia="Calibri" w:hAnsi="Times New Roman" w:cs="Times New Roman"/>
          <w:color w:val="000000"/>
          <w:kern w:val="0"/>
          <w14:ligatures w14:val="none"/>
        </w:rPr>
        <w:t xml:space="preserve">consacre </w:t>
      </w:r>
      <w:r w:rsidRPr="002F0431">
        <w:rPr>
          <w:rFonts w:ascii="Times New Roman" w:eastAsia="Calibri" w:hAnsi="Times New Roman" w:cs="Times New Roman"/>
          <w:color w:val="000000"/>
          <w:kern w:val="0"/>
          <w14:ligatures w14:val="none"/>
        </w:rPr>
        <w:t>le droit à la dignité inhérente à la personne humaine et interdit toute forme de torture ainsi que les peines ou traitements cruels, inhumains ou dégradants. Or, le recours aux examens anaux forcés, assimilables à des actes de torture selon les standards internationaux, constitue une violation manifeste de cette disposition, aggravée par la participation et la tolérance des autorités étatiques.</w:t>
      </w:r>
    </w:p>
    <w:p w14:paraId="2A415491" w14:textId="149E7746" w:rsidR="002F0431" w:rsidRPr="002F0431" w:rsidRDefault="002F0431" w:rsidP="002F0431">
      <w:pPr>
        <w:spacing w:after="0"/>
        <w:jc w:val="both"/>
        <w:rPr>
          <w:rFonts w:ascii="Times New Roman" w:eastAsia="Calibri" w:hAnsi="Times New Roman" w:cs="Times New Roman"/>
          <w:color w:val="000000"/>
          <w:kern w:val="0"/>
          <w14:ligatures w14:val="none"/>
        </w:rPr>
      </w:pPr>
    </w:p>
    <w:p w14:paraId="53BFF681" w14:textId="77777777" w:rsidR="002F0431" w:rsidRPr="002F0431" w:rsidRDefault="002F0431" w:rsidP="002F0431">
      <w:pPr>
        <w:spacing w:after="0"/>
        <w:jc w:val="both"/>
        <w:rPr>
          <w:rFonts w:ascii="Times New Roman" w:hAnsi="Times New Roman" w:cs="Times New Roman"/>
          <w:color w:val="000000" w:themeColor="text1"/>
        </w:rPr>
      </w:pPr>
    </w:p>
    <w:p w14:paraId="0FC94564" w14:textId="0C49E1DA" w:rsidR="002F0431" w:rsidRDefault="002F0431" w:rsidP="002F0431">
      <w:pPr>
        <w:spacing w:after="0"/>
        <w:jc w:val="both"/>
        <w:rPr>
          <w:rFonts w:ascii="Times New Roman" w:hAnsi="Times New Roman" w:cs="Times New Roman"/>
          <w:color w:val="000000" w:themeColor="text1"/>
        </w:rPr>
      </w:pPr>
      <w:r w:rsidRPr="002F0431">
        <w:rPr>
          <w:rFonts w:ascii="Times New Roman" w:hAnsi="Times New Roman" w:cs="Times New Roman"/>
          <w:color w:val="000000" w:themeColor="text1"/>
        </w:rPr>
        <w:lastRenderedPageBreak/>
        <w:t>L’</w:t>
      </w:r>
      <w:r w:rsidRPr="002F0431">
        <w:rPr>
          <w:rFonts w:ascii="Times New Roman" w:hAnsi="Times New Roman" w:cs="Times New Roman"/>
          <w:color w:val="000000" w:themeColor="text1"/>
        </w:rPr>
        <w:t xml:space="preserve">article </w:t>
      </w:r>
      <w:r w:rsidRPr="002F0431">
        <w:rPr>
          <w:rFonts w:ascii="Times New Roman" w:hAnsi="Times New Roman" w:cs="Times New Roman"/>
          <w:color w:val="000000" w:themeColor="text1"/>
        </w:rPr>
        <w:t xml:space="preserve">17 de Pacte international relatif aux droits civils et politiques </w:t>
      </w:r>
      <w:r w:rsidRPr="002F0431">
        <w:rPr>
          <w:rFonts w:ascii="Times New Roman" w:hAnsi="Times New Roman" w:cs="Times New Roman"/>
          <w:color w:val="000000" w:themeColor="text1"/>
        </w:rPr>
        <w:t>interdit explicitement la torture et les peines ou traitements cruels, inhumains ou dégradants. Il prohibe également que quiconque soit soumis sans son libre consentement à une expérience médicale ou scientifique.</w:t>
      </w:r>
      <w:r w:rsidRPr="002F0431">
        <w:rPr>
          <w:rFonts w:ascii="Times New Roman" w:hAnsi="Times New Roman" w:cs="Times New Roman"/>
          <w:color w:val="000000" w:themeColor="text1"/>
        </w:rPr>
        <w:t xml:space="preserve"> </w:t>
      </w:r>
      <w:r w:rsidRPr="002F0431">
        <w:rPr>
          <w:rFonts w:ascii="Times New Roman" w:hAnsi="Times New Roman" w:cs="Times New Roman"/>
          <w:color w:val="000000" w:themeColor="text1"/>
        </w:rPr>
        <w:t xml:space="preserve">En l’espèce, le recours en Tunisie à des examens anaux forcés sur des personnes présumées homosexuelles constitue une atteinte directe à cette disposition. Ces pratiques sont menées sans consentement, dans un cadre pénal, avec pour objectif d’obtenir des « preuves » d’une orientation sexuelle, alors même qu’elles sont scientifiquement infondées et médicalement injustifiables. </w:t>
      </w:r>
      <w:r w:rsidRPr="002F0431">
        <w:rPr>
          <w:rFonts w:ascii="Times New Roman" w:hAnsi="Times New Roman" w:cs="Times New Roman"/>
          <w:color w:val="000000" w:themeColor="text1"/>
        </w:rPr>
        <w:t xml:space="preserve"> </w:t>
      </w:r>
      <w:r w:rsidRPr="002F0431">
        <w:rPr>
          <w:rFonts w:ascii="Times New Roman" w:hAnsi="Times New Roman" w:cs="Times New Roman"/>
          <w:color w:val="000000" w:themeColor="text1"/>
        </w:rPr>
        <w:t>En définitive, l’usage de ces examens en Tunisie engage la responsabilité internationale de l’État au titre de la violation de</w:t>
      </w:r>
      <w:r w:rsidRPr="002F0431">
        <w:rPr>
          <w:rFonts w:ascii="Times New Roman" w:hAnsi="Times New Roman" w:cs="Times New Roman"/>
          <w:color w:val="000000" w:themeColor="text1"/>
        </w:rPr>
        <w:t xml:space="preserve"> cet article</w:t>
      </w:r>
      <w:r w:rsidRPr="002F0431">
        <w:rPr>
          <w:rFonts w:ascii="Times New Roman" w:hAnsi="Times New Roman" w:cs="Times New Roman"/>
          <w:color w:val="000000" w:themeColor="text1"/>
        </w:rPr>
        <w:t>.</w:t>
      </w:r>
    </w:p>
    <w:p w14:paraId="57887F79" w14:textId="77777777" w:rsidR="00A81ABA" w:rsidRPr="00A81ABA" w:rsidRDefault="00A81ABA" w:rsidP="002F0431">
      <w:pPr>
        <w:spacing w:after="0"/>
        <w:jc w:val="both"/>
        <w:rPr>
          <w:rFonts w:ascii="Times New Roman" w:hAnsi="Times New Roman" w:cs="Times New Roman"/>
          <w:color w:val="000000" w:themeColor="text1"/>
        </w:rPr>
      </w:pPr>
    </w:p>
    <w:p w14:paraId="796D4B54" w14:textId="6097B320" w:rsidR="00A81ABA" w:rsidRPr="00A81ABA" w:rsidRDefault="00A81ABA" w:rsidP="00A81ABA">
      <w:pPr>
        <w:spacing w:after="0"/>
        <w:jc w:val="both"/>
        <w:rPr>
          <w:rFonts w:ascii="Times New Roman" w:eastAsia="Calibri" w:hAnsi="Times New Roman" w:cs="Times New Roman"/>
          <w:color w:val="000000"/>
          <w:kern w:val="0"/>
          <w14:ligatures w14:val="none"/>
        </w:rPr>
      </w:pPr>
      <w:r w:rsidRPr="00A81ABA">
        <w:rPr>
          <w:rFonts w:ascii="Times New Roman" w:hAnsi="Times New Roman" w:cs="Times New Roman"/>
          <w:color w:val="000000" w:themeColor="text1"/>
        </w:rPr>
        <w:t xml:space="preserve">Enfin, </w:t>
      </w:r>
      <w:r w:rsidRPr="00A81ABA">
        <w:rPr>
          <w:rFonts w:ascii="Times New Roman" w:eastAsia="Calibri" w:hAnsi="Times New Roman" w:cs="Times New Roman"/>
          <w:color w:val="000000"/>
          <w:kern w:val="0"/>
          <w14:ligatures w14:val="none"/>
        </w:rPr>
        <w:t>l’a</w:t>
      </w:r>
      <w:r w:rsidRPr="00A81ABA">
        <w:rPr>
          <w:rFonts w:ascii="Times New Roman" w:eastAsia="Calibri" w:hAnsi="Times New Roman" w:cs="Times New Roman"/>
          <w:color w:val="000000"/>
          <w:kern w:val="0"/>
          <w14:ligatures w14:val="none"/>
        </w:rPr>
        <w:t>rticle 1 de la Convention contre la torture et autres peines ou traitements cruels, inhumains ou dégradants</w:t>
      </w:r>
      <w:r w:rsidRPr="00A81ABA">
        <w:rPr>
          <w:rFonts w:ascii="Times New Roman" w:eastAsia="Calibri" w:hAnsi="Times New Roman" w:cs="Times New Roman"/>
          <w:color w:val="000000"/>
          <w:kern w:val="0"/>
          <w14:ligatures w14:val="none"/>
        </w:rPr>
        <w:t xml:space="preserve"> dé</w:t>
      </w:r>
      <w:r w:rsidRPr="00A81ABA">
        <w:rPr>
          <w:rFonts w:ascii="Times New Roman" w:eastAsia="Calibri" w:hAnsi="Times New Roman" w:cs="Times New Roman"/>
          <w:color w:val="000000"/>
          <w:kern w:val="0"/>
          <w14:ligatures w14:val="none"/>
        </w:rPr>
        <w:t>finit la torture comme tout acte infligeant intentionnellement une douleur ou une souffrance aiguë, physique ou mentale, par un agent de l’État ou avec son consentement, dans le but notamment de punir, intimider ou obtenir des informations.</w:t>
      </w:r>
      <w:r w:rsidRPr="00A81ABA">
        <w:rPr>
          <w:rFonts w:ascii="Times New Roman" w:eastAsia="Calibri" w:hAnsi="Times New Roman" w:cs="Times New Roman"/>
          <w:color w:val="000000"/>
          <w:kern w:val="0"/>
          <w14:ligatures w14:val="none"/>
        </w:rPr>
        <w:t xml:space="preserve"> </w:t>
      </w:r>
      <w:r w:rsidRPr="00A81ABA">
        <w:rPr>
          <w:rFonts w:ascii="Times New Roman" w:eastAsia="Calibri" w:hAnsi="Times New Roman" w:cs="Times New Roman"/>
          <w:color w:val="000000"/>
          <w:kern w:val="0"/>
          <w14:ligatures w14:val="none"/>
        </w:rPr>
        <w:t>En l’espèce, les examens anaux forcés pratiqués sur des personnes LGBTQ+ par des agents publics répondent à cette définition, constituant ainsi des actes de torture au sens de la Convention.</w:t>
      </w:r>
    </w:p>
    <w:p w14:paraId="535A7EB7" w14:textId="70EFD664" w:rsidR="00A81ABA" w:rsidRDefault="00A81ABA" w:rsidP="002F0431">
      <w:pPr>
        <w:spacing w:after="0"/>
        <w:jc w:val="both"/>
        <w:rPr>
          <w:rFonts w:ascii="Times New Roman" w:hAnsi="Times New Roman" w:cs="Times New Roman"/>
          <w:color w:val="000000" w:themeColor="text1"/>
        </w:rPr>
      </w:pPr>
    </w:p>
    <w:p w14:paraId="208D1979" w14:textId="77CDD20B" w:rsidR="00A81ABA" w:rsidRPr="003A5C5C" w:rsidRDefault="003A5C5C" w:rsidP="00A81ABA">
      <w:pPr>
        <w:spacing w:after="0"/>
        <w:jc w:val="both"/>
        <w:rPr>
          <w:rFonts w:ascii="Times New Roman" w:hAnsi="Times New Roman" w:cs="Times New Roman"/>
          <w:b/>
          <w:bCs/>
          <w:color w:val="000000" w:themeColor="text1"/>
        </w:rPr>
      </w:pPr>
      <w:r w:rsidRPr="003A5C5C">
        <w:rPr>
          <w:rFonts w:ascii="Times New Roman" w:hAnsi="Times New Roman" w:cs="Times New Roman"/>
          <w:b/>
          <w:bCs/>
          <w:color w:val="000000" w:themeColor="text1"/>
        </w:rPr>
        <w:t xml:space="preserve">6. </w:t>
      </w:r>
      <w:r w:rsidRPr="003A5C5C">
        <w:rPr>
          <w:rFonts w:ascii="Times New Roman" w:hAnsi="Times New Roman" w:cs="Times New Roman"/>
          <w:b/>
          <w:bCs/>
          <w:color w:val="000000" w:themeColor="text1"/>
        </w:rPr>
        <w:t>É</w:t>
      </w:r>
      <w:r w:rsidRPr="003A5C5C">
        <w:rPr>
          <w:rFonts w:ascii="Times New Roman" w:hAnsi="Times New Roman" w:cs="Times New Roman"/>
          <w:b/>
          <w:bCs/>
          <w:color w:val="000000" w:themeColor="text1"/>
        </w:rPr>
        <w:t>léments de preuve</w:t>
      </w:r>
    </w:p>
    <w:p w14:paraId="5E3C07F0" w14:textId="77777777" w:rsidR="00A81ABA" w:rsidRPr="00A81ABA" w:rsidRDefault="00A81ABA" w:rsidP="00A81ABA">
      <w:pPr>
        <w:spacing w:after="0"/>
        <w:jc w:val="both"/>
        <w:rPr>
          <w:rFonts w:ascii="Times New Roman" w:hAnsi="Times New Roman" w:cs="Times New Roman"/>
          <w:color w:val="000000" w:themeColor="text1"/>
        </w:rPr>
      </w:pPr>
    </w:p>
    <w:p w14:paraId="70D499E1"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1</w:t>
      </w:r>
      <w:r w:rsidRPr="00A81ABA">
        <w:rPr>
          <w:rFonts w:ascii="Times New Roman" w:eastAsia="Times New Roman" w:hAnsi="Times New Roman" w:cs="Times New Roman"/>
          <w:color w:val="000000"/>
          <w:kern w:val="0"/>
          <w14:ligatures w14:val="none"/>
        </w:rPr>
        <w:t xml:space="preserve"> : Communiqué du Collectif Civil pour les libertés individuelles - Le test anal contraire à la dignité et à l’intégrité physique</w:t>
      </w:r>
    </w:p>
    <w:p w14:paraId="272046A6"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1C43162A"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2</w:t>
      </w:r>
      <w:r w:rsidRPr="00A81ABA">
        <w:rPr>
          <w:rFonts w:ascii="Times New Roman" w:eastAsia="Times New Roman" w:hAnsi="Times New Roman" w:cs="Times New Roman"/>
          <w:color w:val="000000"/>
          <w:kern w:val="0"/>
          <w14:ligatures w14:val="none"/>
        </w:rPr>
        <w:t xml:space="preserve"> : Conseil des droits de l’Homme, Rapport du Haut-Commissariat aux droits de l’Homme, Discrimination et violence à l’encontre des personnes en raison de leur orientation sexuelle et de leur identité de genre, A/HCR/29/23, 4 mai 2015, para 13</w:t>
      </w:r>
    </w:p>
    <w:p w14:paraId="54B60427"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65CA1D2A"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3</w:t>
      </w:r>
      <w:r w:rsidRPr="00A81ABA">
        <w:rPr>
          <w:rFonts w:ascii="Times New Roman" w:eastAsia="Times New Roman" w:hAnsi="Times New Roman" w:cs="Times New Roman"/>
          <w:color w:val="000000"/>
          <w:kern w:val="0"/>
          <w14:ligatures w14:val="none"/>
        </w:rPr>
        <w:t xml:space="preserve"> : Conseil des droits de l’Homme, Rapport du rapporteur spécial des Nations Unies sur la torture et autres peines ou traitements cruels, inhumains ou dégradants, A/HRC/31/57, 5 janvier 2016, para 36</w:t>
      </w:r>
    </w:p>
    <w:p w14:paraId="15CDBBA9"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10A50F59"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4</w:t>
      </w:r>
      <w:r w:rsidRPr="00A81ABA">
        <w:rPr>
          <w:rFonts w:ascii="Times New Roman" w:eastAsia="Times New Roman" w:hAnsi="Times New Roman" w:cs="Times New Roman"/>
          <w:color w:val="000000"/>
          <w:kern w:val="0"/>
          <w14:ligatures w14:val="none"/>
        </w:rPr>
        <w:t xml:space="preserve"> : Expertise médicale effectuée par Ilyes </w:t>
      </w:r>
      <w:proofErr w:type="spellStart"/>
      <w:r w:rsidRPr="00A81ABA">
        <w:rPr>
          <w:rFonts w:ascii="Times New Roman" w:eastAsia="Times New Roman" w:hAnsi="Times New Roman" w:cs="Times New Roman"/>
          <w:color w:val="000000"/>
          <w:kern w:val="0"/>
          <w14:ligatures w14:val="none"/>
        </w:rPr>
        <w:t>Turki</w:t>
      </w:r>
      <w:proofErr w:type="spellEnd"/>
      <w:r w:rsidRPr="00A81ABA">
        <w:rPr>
          <w:rFonts w:ascii="Times New Roman" w:eastAsia="Times New Roman" w:hAnsi="Times New Roman" w:cs="Times New Roman"/>
          <w:color w:val="000000"/>
          <w:kern w:val="0"/>
          <w14:ligatures w14:val="none"/>
        </w:rPr>
        <w:t xml:space="preserve"> sur Salah Ben Bechir Ben Salah </w:t>
      </w:r>
      <w:proofErr w:type="spellStart"/>
      <w:r w:rsidRPr="00A81ABA">
        <w:rPr>
          <w:rFonts w:ascii="Times New Roman" w:eastAsia="Times New Roman" w:hAnsi="Times New Roman" w:cs="Times New Roman"/>
          <w:color w:val="000000"/>
          <w:kern w:val="0"/>
          <w14:ligatures w14:val="none"/>
        </w:rPr>
        <w:t>Sahli</w:t>
      </w:r>
      <w:proofErr w:type="spellEnd"/>
      <w:r w:rsidRPr="00A81ABA">
        <w:rPr>
          <w:rFonts w:ascii="Times New Roman" w:eastAsia="Times New Roman" w:hAnsi="Times New Roman" w:cs="Times New Roman"/>
          <w:color w:val="000000"/>
          <w:kern w:val="0"/>
          <w14:ligatures w14:val="none"/>
        </w:rPr>
        <w:t xml:space="preserve">, Brahim Ben Taher Ben Amara </w:t>
      </w:r>
      <w:proofErr w:type="spellStart"/>
      <w:r w:rsidRPr="00A81ABA">
        <w:rPr>
          <w:rFonts w:ascii="Times New Roman" w:eastAsia="Times New Roman" w:hAnsi="Times New Roman" w:cs="Times New Roman"/>
          <w:color w:val="000000"/>
          <w:kern w:val="0"/>
          <w14:ligatures w14:val="none"/>
        </w:rPr>
        <w:t>Mouelhi</w:t>
      </w:r>
      <w:proofErr w:type="spellEnd"/>
      <w:r w:rsidRPr="00A81ABA">
        <w:rPr>
          <w:rFonts w:ascii="Times New Roman" w:eastAsia="Times New Roman" w:hAnsi="Times New Roman" w:cs="Times New Roman"/>
          <w:color w:val="000000"/>
          <w:kern w:val="0"/>
          <w14:ligatures w14:val="none"/>
        </w:rPr>
        <w:t xml:space="preserve">, Skander Ben Kamel Ben Hassen </w:t>
      </w:r>
      <w:proofErr w:type="spellStart"/>
      <w:r w:rsidRPr="00A81ABA">
        <w:rPr>
          <w:rFonts w:ascii="Times New Roman" w:eastAsia="Times New Roman" w:hAnsi="Times New Roman" w:cs="Times New Roman"/>
          <w:color w:val="000000"/>
          <w:kern w:val="0"/>
          <w14:ligatures w14:val="none"/>
        </w:rPr>
        <w:t>Alayet</w:t>
      </w:r>
      <w:proofErr w:type="spellEnd"/>
      <w:r w:rsidRPr="00A81ABA">
        <w:rPr>
          <w:rFonts w:ascii="Times New Roman" w:eastAsia="Times New Roman" w:hAnsi="Times New Roman" w:cs="Times New Roman"/>
          <w:color w:val="000000"/>
          <w:kern w:val="0"/>
          <w14:ligatures w14:val="none"/>
        </w:rPr>
        <w:t xml:space="preserve">, Arbi Ben Mohamed Ben Moussa </w:t>
      </w:r>
      <w:proofErr w:type="spellStart"/>
      <w:r w:rsidRPr="00A81ABA">
        <w:rPr>
          <w:rFonts w:ascii="Times New Roman" w:eastAsia="Times New Roman" w:hAnsi="Times New Roman" w:cs="Times New Roman"/>
          <w:color w:val="000000"/>
          <w:kern w:val="0"/>
          <w14:ligatures w14:val="none"/>
        </w:rPr>
        <w:t>Mekni</w:t>
      </w:r>
      <w:proofErr w:type="spellEnd"/>
      <w:r w:rsidRPr="00A81ABA">
        <w:rPr>
          <w:rFonts w:ascii="Times New Roman" w:eastAsia="Times New Roman" w:hAnsi="Times New Roman" w:cs="Times New Roman"/>
          <w:color w:val="000000"/>
          <w:kern w:val="0"/>
          <w14:ligatures w14:val="none"/>
        </w:rPr>
        <w:t xml:space="preserve">, Mohamed Ali Ben Belgacem Ben Abdelkader </w:t>
      </w:r>
      <w:proofErr w:type="spellStart"/>
      <w:r w:rsidRPr="00A81ABA">
        <w:rPr>
          <w:rFonts w:ascii="Times New Roman" w:eastAsia="Times New Roman" w:hAnsi="Times New Roman" w:cs="Times New Roman"/>
          <w:color w:val="000000"/>
          <w:kern w:val="0"/>
          <w14:ligatures w14:val="none"/>
        </w:rPr>
        <w:t>Maaouia</w:t>
      </w:r>
      <w:proofErr w:type="spellEnd"/>
      <w:r w:rsidRPr="00A81ABA">
        <w:rPr>
          <w:rFonts w:ascii="Times New Roman" w:eastAsia="Times New Roman" w:hAnsi="Times New Roman" w:cs="Times New Roman"/>
          <w:color w:val="000000"/>
          <w:kern w:val="0"/>
          <w14:ligatures w14:val="none"/>
        </w:rPr>
        <w:t xml:space="preserve"> et </w:t>
      </w:r>
      <w:proofErr w:type="spellStart"/>
      <w:r w:rsidRPr="00A81ABA">
        <w:rPr>
          <w:rFonts w:ascii="Times New Roman" w:eastAsia="Times New Roman" w:hAnsi="Times New Roman" w:cs="Times New Roman"/>
          <w:color w:val="000000"/>
          <w:kern w:val="0"/>
          <w14:ligatures w14:val="none"/>
        </w:rPr>
        <w:t>Haithem</w:t>
      </w:r>
      <w:proofErr w:type="spellEnd"/>
      <w:r w:rsidRPr="00A81ABA">
        <w:rPr>
          <w:rFonts w:ascii="Times New Roman" w:eastAsia="Times New Roman" w:hAnsi="Times New Roman" w:cs="Times New Roman"/>
          <w:color w:val="000000"/>
          <w:kern w:val="0"/>
          <w14:ligatures w14:val="none"/>
        </w:rPr>
        <w:t xml:space="preserve"> Ben Moncef Ben Mustapha </w:t>
      </w:r>
      <w:proofErr w:type="spellStart"/>
      <w:r w:rsidRPr="00A81ABA">
        <w:rPr>
          <w:rFonts w:ascii="Times New Roman" w:eastAsia="Times New Roman" w:hAnsi="Times New Roman" w:cs="Times New Roman"/>
          <w:color w:val="000000"/>
          <w:kern w:val="0"/>
          <w14:ligatures w14:val="none"/>
        </w:rPr>
        <w:t>Jerbi</w:t>
      </w:r>
      <w:proofErr w:type="spellEnd"/>
    </w:p>
    <w:p w14:paraId="274A91B7"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72C4DEC9"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5</w:t>
      </w:r>
      <w:r w:rsidRPr="00A81ABA">
        <w:rPr>
          <w:rFonts w:ascii="Times New Roman" w:eastAsia="Times New Roman" w:hAnsi="Times New Roman" w:cs="Times New Roman"/>
          <w:color w:val="000000"/>
          <w:kern w:val="0"/>
          <w14:ligatures w14:val="none"/>
        </w:rPr>
        <w:t xml:space="preserve"> : Expertise médicale effectuée par Mohamed Allouche sur </w:t>
      </w:r>
      <w:proofErr w:type="spellStart"/>
      <w:r w:rsidRPr="00A81ABA">
        <w:rPr>
          <w:rFonts w:ascii="Times New Roman" w:eastAsia="Times New Roman" w:hAnsi="Times New Roman" w:cs="Times New Roman"/>
          <w:color w:val="000000"/>
          <w:kern w:val="0"/>
          <w14:ligatures w14:val="none"/>
        </w:rPr>
        <w:t>Iheb</w:t>
      </w:r>
      <w:proofErr w:type="spellEnd"/>
      <w:r w:rsidRPr="00A81ABA">
        <w:rPr>
          <w:rFonts w:ascii="Times New Roman" w:eastAsia="Times New Roman" w:hAnsi="Times New Roman" w:cs="Times New Roman"/>
          <w:color w:val="000000"/>
          <w:kern w:val="0"/>
          <w14:ligatures w14:val="none"/>
        </w:rPr>
        <w:t xml:space="preserve"> Ben Ahmed </w:t>
      </w:r>
      <w:proofErr w:type="spellStart"/>
      <w:r w:rsidRPr="00A81ABA">
        <w:rPr>
          <w:rFonts w:ascii="Times New Roman" w:eastAsia="Times New Roman" w:hAnsi="Times New Roman" w:cs="Times New Roman"/>
          <w:color w:val="000000"/>
          <w:kern w:val="0"/>
          <w14:ligatures w14:val="none"/>
        </w:rPr>
        <w:t>Maamouri</w:t>
      </w:r>
      <w:proofErr w:type="spellEnd"/>
    </w:p>
    <w:p w14:paraId="05A3C5E6"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76EBCC36"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6</w:t>
      </w:r>
      <w:r w:rsidRPr="00A81ABA">
        <w:rPr>
          <w:rFonts w:ascii="Times New Roman" w:eastAsia="Times New Roman" w:hAnsi="Times New Roman" w:cs="Times New Roman"/>
          <w:color w:val="000000"/>
          <w:kern w:val="0"/>
          <w14:ligatures w14:val="none"/>
        </w:rPr>
        <w:t xml:space="preserve"> : Expertise médicale effectuée par Mohamed Allouche sur Mohamed Karim Ben Mounir Belhadj</w:t>
      </w:r>
    </w:p>
    <w:p w14:paraId="4F0634A5"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3C1E6FB0"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7</w:t>
      </w:r>
      <w:r w:rsidRPr="00A81ABA">
        <w:rPr>
          <w:rFonts w:ascii="Times New Roman" w:eastAsia="Times New Roman" w:hAnsi="Times New Roman" w:cs="Times New Roman"/>
          <w:color w:val="000000"/>
          <w:kern w:val="0"/>
          <w14:ligatures w14:val="none"/>
        </w:rPr>
        <w:t xml:space="preserve"> : Groupe indépendant d’experts médico-légaux - Déclaration sur les examens anaux dans les affaires d’homosexualité présumée</w:t>
      </w:r>
    </w:p>
    <w:p w14:paraId="76AF934B"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48B294B7"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8</w:t>
      </w:r>
      <w:r w:rsidRPr="00A81ABA">
        <w:rPr>
          <w:rFonts w:ascii="Times New Roman" w:eastAsia="Times New Roman" w:hAnsi="Times New Roman" w:cs="Times New Roman"/>
          <w:color w:val="000000"/>
          <w:kern w:val="0"/>
          <w14:ligatures w14:val="none"/>
        </w:rPr>
        <w:t xml:space="preserve"> : Groupe de travail sur la détention arbitraire, Opinion n°25/2009 (Égypte), A/HCR/16/47/Add.1, para 28</w:t>
      </w:r>
    </w:p>
    <w:p w14:paraId="05FFFCB0"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488D94FF"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lastRenderedPageBreak/>
        <w:t>Pièce 9</w:t>
      </w:r>
      <w:r w:rsidRPr="00A81ABA">
        <w:rPr>
          <w:rFonts w:ascii="Times New Roman" w:eastAsia="Times New Roman" w:hAnsi="Times New Roman" w:cs="Times New Roman"/>
          <w:color w:val="000000"/>
          <w:kern w:val="0"/>
          <w14:ligatures w14:val="none"/>
        </w:rPr>
        <w:t xml:space="preserve"> : Jugement correctionnel, Tribunal de première instance de Kairouan, du 10 décembre 2015, affaire n°6782</w:t>
      </w:r>
    </w:p>
    <w:p w14:paraId="7A99E927"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7D927A4B"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10</w:t>
      </w:r>
      <w:r w:rsidRPr="00A81ABA">
        <w:rPr>
          <w:rFonts w:ascii="Times New Roman" w:eastAsia="Times New Roman" w:hAnsi="Times New Roman" w:cs="Times New Roman"/>
          <w:color w:val="000000"/>
          <w:kern w:val="0"/>
          <w14:ligatures w14:val="none"/>
        </w:rPr>
        <w:t xml:space="preserve"> : Jugement correctionnel, Tribunal de première instance de Sousse, 10 mars 2017, affaire n°10617</w:t>
      </w:r>
    </w:p>
    <w:p w14:paraId="776A9CA2"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5007E9C3"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11</w:t>
      </w:r>
      <w:r w:rsidRPr="00A81ABA">
        <w:rPr>
          <w:rFonts w:ascii="Times New Roman" w:eastAsia="Times New Roman" w:hAnsi="Times New Roman" w:cs="Times New Roman"/>
          <w:color w:val="000000"/>
          <w:kern w:val="0"/>
          <w14:ligatures w14:val="none"/>
        </w:rPr>
        <w:t xml:space="preserve"> : OMCT - Note juridique sur l’article 230 du Code pénal et le test anal à l'aune du droit international</w:t>
      </w:r>
    </w:p>
    <w:p w14:paraId="5A9FC1DE"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3DDD4E4B"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lang w:val="en-GB"/>
          <w14:ligatures w14:val="none"/>
        </w:rPr>
      </w:pPr>
      <w:r w:rsidRPr="00A81ABA">
        <w:rPr>
          <w:rFonts w:ascii="Times New Roman" w:eastAsia="Times New Roman" w:hAnsi="Times New Roman" w:cs="Times New Roman"/>
          <w:color w:val="000000"/>
          <w:kern w:val="0"/>
          <w:u w:val="single"/>
          <w:lang w:val="en-GB"/>
          <w14:ligatures w14:val="none"/>
        </w:rPr>
        <w:t>Pièce 12</w:t>
      </w:r>
      <w:r w:rsidRPr="00A81ABA">
        <w:rPr>
          <w:rFonts w:ascii="Times New Roman" w:eastAsia="Times New Roman" w:hAnsi="Times New Roman" w:cs="Times New Roman"/>
          <w:color w:val="000000"/>
          <w:kern w:val="0"/>
          <w:lang w:val="en-GB"/>
          <w14:ligatures w14:val="none"/>
        </w:rPr>
        <w:t xml:space="preserve"> : OMCT - Tunisia: Three Years for Homosexuality - 6 Students Subjected to Anal Examinations</w:t>
      </w:r>
    </w:p>
    <w:p w14:paraId="6E117B9E"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lang w:val="en-GB"/>
          <w14:ligatures w14:val="none"/>
        </w:rPr>
      </w:pPr>
    </w:p>
    <w:p w14:paraId="2FC05D93"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13</w:t>
      </w:r>
      <w:r w:rsidRPr="00A81ABA">
        <w:rPr>
          <w:rFonts w:ascii="Times New Roman" w:eastAsia="Times New Roman" w:hAnsi="Times New Roman" w:cs="Times New Roman"/>
          <w:color w:val="000000"/>
          <w:kern w:val="0"/>
          <w14:ligatures w14:val="none"/>
        </w:rPr>
        <w:t xml:space="preserve"> : Plainte ADHEOS contre le Dr Mehdi Ben </w:t>
      </w:r>
      <w:proofErr w:type="spellStart"/>
      <w:r w:rsidRPr="00A81ABA">
        <w:rPr>
          <w:rFonts w:ascii="Times New Roman" w:eastAsia="Times New Roman" w:hAnsi="Times New Roman" w:cs="Times New Roman"/>
          <w:color w:val="000000"/>
          <w:kern w:val="0"/>
          <w14:ligatures w14:val="none"/>
        </w:rPr>
        <w:t>Khelil</w:t>
      </w:r>
      <w:proofErr w:type="spellEnd"/>
    </w:p>
    <w:p w14:paraId="01D2AFF1"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0AB4545F"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14</w:t>
      </w:r>
      <w:r w:rsidRPr="00A81ABA">
        <w:rPr>
          <w:rFonts w:ascii="Times New Roman" w:eastAsia="Times New Roman" w:hAnsi="Times New Roman" w:cs="Times New Roman"/>
          <w:color w:val="000000"/>
          <w:kern w:val="0"/>
          <w14:ligatures w14:val="none"/>
        </w:rPr>
        <w:t xml:space="preserve"> : Rapport d'expertise médico-légale effectué par </w:t>
      </w:r>
      <w:proofErr w:type="spellStart"/>
      <w:r w:rsidRPr="00A81ABA">
        <w:rPr>
          <w:rFonts w:ascii="Times New Roman" w:eastAsia="Times New Roman" w:hAnsi="Times New Roman" w:cs="Times New Roman"/>
          <w:color w:val="000000"/>
          <w:kern w:val="0"/>
          <w14:ligatures w14:val="none"/>
        </w:rPr>
        <w:t>Medhdi</w:t>
      </w:r>
      <w:proofErr w:type="spellEnd"/>
      <w:r w:rsidRPr="00A81ABA">
        <w:rPr>
          <w:rFonts w:ascii="Times New Roman" w:eastAsia="Times New Roman" w:hAnsi="Times New Roman" w:cs="Times New Roman"/>
          <w:color w:val="000000"/>
          <w:kern w:val="0"/>
          <w14:ligatures w14:val="none"/>
        </w:rPr>
        <w:t xml:space="preserve"> Ben </w:t>
      </w:r>
      <w:proofErr w:type="spellStart"/>
      <w:r w:rsidRPr="00A81ABA">
        <w:rPr>
          <w:rFonts w:ascii="Times New Roman" w:eastAsia="Times New Roman" w:hAnsi="Times New Roman" w:cs="Times New Roman"/>
          <w:color w:val="000000"/>
          <w:kern w:val="0"/>
          <w14:ligatures w14:val="none"/>
        </w:rPr>
        <w:t>Khelil</w:t>
      </w:r>
      <w:proofErr w:type="spellEnd"/>
      <w:r w:rsidRPr="00A81ABA">
        <w:rPr>
          <w:rFonts w:ascii="Times New Roman" w:eastAsia="Times New Roman" w:hAnsi="Times New Roman" w:cs="Times New Roman"/>
          <w:color w:val="000000"/>
          <w:kern w:val="0"/>
          <w14:ligatures w14:val="none"/>
        </w:rPr>
        <w:t xml:space="preserve"> sur Aymen Ben Kamel Ben </w:t>
      </w:r>
      <w:proofErr w:type="spellStart"/>
      <w:r w:rsidRPr="00A81ABA">
        <w:rPr>
          <w:rFonts w:ascii="Times New Roman" w:eastAsia="Times New Roman" w:hAnsi="Times New Roman" w:cs="Times New Roman"/>
          <w:color w:val="000000"/>
          <w:kern w:val="0"/>
          <w14:ligatures w14:val="none"/>
        </w:rPr>
        <w:t>Kilani</w:t>
      </w:r>
      <w:proofErr w:type="spellEnd"/>
      <w:r w:rsidRPr="00A81ABA">
        <w:rPr>
          <w:rFonts w:ascii="Times New Roman" w:eastAsia="Times New Roman" w:hAnsi="Times New Roman" w:cs="Times New Roman"/>
          <w:color w:val="000000"/>
          <w:kern w:val="0"/>
          <w14:ligatures w14:val="none"/>
        </w:rPr>
        <w:t xml:space="preserve"> </w:t>
      </w:r>
      <w:proofErr w:type="spellStart"/>
      <w:r w:rsidRPr="00A81ABA">
        <w:rPr>
          <w:rFonts w:ascii="Times New Roman" w:eastAsia="Times New Roman" w:hAnsi="Times New Roman" w:cs="Times New Roman"/>
          <w:color w:val="000000"/>
          <w:kern w:val="0"/>
          <w14:ligatures w14:val="none"/>
        </w:rPr>
        <w:t>Makki</w:t>
      </w:r>
      <w:proofErr w:type="spellEnd"/>
    </w:p>
    <w:p w14:paraId="43156D3F" w14:textId="77777777" w:rsidR="00A81ABA" w:rsidRPr="00A81ABA" w:rsidRDefault="00A81ABA" w:rsidP="00A81ABA">
      <w:pPr>
        <w:suppressAutoHyphens/>
        <w:autoSpaceDN w:val="0"/>
        <w:spacing w:after="0" w:line="240" w:lineRule="auto"/>
        <w:ind w:left="720"/>
        <w:jc w:val="both"/>
        <w:textAlignment w:val="baseline"/>
        <w:rPr>
          <w:rFonts w:ascii="Times New Roman" w:eastAsia="Times New Roman" w:hAnsi="Times New Roman" w:cs="Times New Roman"/>
          <w:color w:val="000000"/>
          <w:kern w:val="0"/>
          <w14:ligatures w14:val="none"/>
        </w:rPr>
      </w:pPr>
    </w:p>
    <w:p w14:paraId="280CE537" w14:textId="77777777" w:rsidR="00A81ABA" w:rsidRPr="00A81ABA" w:rsidRDefault="00A81ABA" w:rsidP="00A81ABA">
      <w:pPr>
        <w:suppressAutoHyphens/>
        <w:autoSpaceDN w:val="0"/>
        <w:spacing w:after="0" w:line="240" w:lineRule="auto"/>
        <w:jc w:val="both"/>
        <w:textAlignment w:val="baseline"/>
        <w:rPr>
          <w:rFonts w:ascii="Times New Roman" w:eastAsia="Times New Roman" w:hAnsi="Times New Roman" w:cs="Times New Roman"/>
          <w:color w:val="000000"/>
          <w:kern w:val="0"/>
          <w14:ligatures w14:val="none"/>
        </w:rPr>
      </w:pPr>
      <w:r w:rsidRPr="00A81ABA">
        <w:rPr>
          <w:rFonts w:ascii="Times New Roman" w:eastAsia="Times New Roman" w:hAnsi="Times New Roman" w:cs="Times New Roman"/>
          <w:color w:val="000000"/>
          <w:kern w:val="0"/>
          <w:u w:val="single"/>
          <w14:ligatures w14:val="none"/>
        </w:rPr>
        <w:t>Pièce 15</w:t>
      </w:r>
      <w:r w:rsidRPr="00A81ABA">
        <w:rPr>
          <w:rFonts w:ascii="Times New Roman" w:eastAsia="Times New Roman" w:hAnsi="Times New Roman" w:cs="Times New Roman"/>
          <w:color w:val="000000"/>
          <w:kern w:val="0"/>
          <w14:ligatures w14:val="none"/>
        </w:rPr>
        <w:t xml:space="preserve"> : Rapport d'expertise médico-légale effectué par Medhi Ben </w:t>
      </w:r>
      <w:proofErr w:type="spellStart"/>
      <w:r w:rsidRPr="00A81ABA">
        <w:rPr>
          <w:rFonts w:ascii="Times New Roman" w:eastAsia="Times New Roman" w:hAnsi="Times New Roman" w:cs="Times New Roman"/>
          <w:color w:val="000000"/>
          <w:kern w:val="0"/>
          <w14:ligatures w14:val="none"/>
        </w:rPr>
        <w:t>Khelil</w:t>
      </w:r>
      <w:proofErr w:type="spellEnd"/>
      <w:r w:rsidRPr="00A81ABA">
        <w:rPr>
          <w:rFonts w:ascii="Times New Roman" w:eastAsia="Times New Roman" w:hAnsi="Times New Roman" w:cs="Times New Roman"/>
          <w:color w:val="000000"/>
          <w:kern w:val="0"/>
          <w14:ligatures w14:val="none"/>
        </w:rPr>
        <w:t xml:space="preserve"> sur une personne anonymisée</w:t>
      </w:r>
    </w:p>
    <w:p w14:paraId="45D97F26" w14:textId="77777777" w:rsidR="00A81ABA" w:rsidRPr="00A81ABA" w:rsidRDefault="00A81ABA" w:rsidP="002F0431">
      <w:pPr>
        <w:spacing w:after="0"/>
        <w:jc w:val="both"/>
        <w:rPr>
          <w:rFonts w:ascii="Times New Roman" w:hAnsi="Times New Roman" w:cs="Times New Roman"/>
          <w:color w:val="000000" w:themeColor="text1"/>
        </w:rPr>
      </w:pPr>
    </w:p>
    <w:p w14:paraId="5E9F9682" w14:textId="77777777" w:rsidR="002F0431" w:rsidRPr="002F0431" w:rsidRDefault="002F0431" w:rsidP="002F0431">
      <w:pPr>
        <w:spacing w:after="0"/>
        <w:jc w:val="both"/>
        <w:rPr>
          <w:rFonts w:ascii="Times New Roman" w:eastAsia="Calibri" w:hAnsi="Times New Roman" w:cs="Times New Roman"/>
          <w:color w:val="000000"/>
          <w:kern w:val="0"/>
          <w14:ligatures w14:val="none"/>
        </w:rPr>
      </w:pPr>
    </w:p>
    <w:p w14:paraId="42687AAC" w14:textId="67BDC3A5" w:rsidR="002F0431" w:rsidRPr="00A81ABA" w:rsidRDefault="002F0431" w:rsidP="00F9512E">
      <w:pPr>
        <w:spacing w:after="0"/>
        <w:jc w:val="both"/>
        <w:rPr>
          <w:rFonts w:ascii="Times New Roman" w:eastAsia="Calibri" w:hAnsi="Times New Roman" w:cs="Times New Roman"/>
          <w:color w:val="000000"/>
          <w:kern w:val="0"/>
          <w14:ligatures w14:val="none"/>
        </w:rPr>
      </w:pPr>
    </w:p>
    <w:p w14:paraId="64D73602" w14:textId="77777777" w:rsidR="00E26B55" w:rsidRPr="00E26B55" w:rsidRDefault="00E26B55" w:rsidP="00F9512E">
      <w:pPr>
        <w:spacing w:after="0"/>
        <w:jc w:val="both"/>
        <w:rPr>
          <w:rFonts w:ascii="Times New Roman" w:hAnsi="Times New Roman" w:cs="Times New Roman"/>
        </w:rPr>
      </w:pPr>
    </w:p>
    <w:sectPr w:rsidR="00E26B55" w:rsidRPr="00E26B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5C8FE" w14:textId="77777777" w:rsidR="009509C8" w:rsidRDefault="009509C8" w:rsidP="00AB2E87">
      <w:pPr>
        <w:spacing w:after="0" w:line="240" w:lineRule="auto"/>
      </w:pPr>
      <w:r>
        <w:separator/>
      </w:r>
    </w:p>
  </w:endnote>
  <w:endnote w:type="continuationSeparator" w:id="0">
    <w:p w14:paraId="28313997" w14:textId="77777777" w:rsidR="009509C8" w:rsidRDefault="009509C8" w:rsidP="00AB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AD84" w14:textId="77777777" w:rsidR="009509C8" w:rsidRDefault="009509C8" w:rsidP="00AB2E87">
      <w:pPr>
        <w:spacing w:after="0" w:line="240" w:lineRule="auto"/>
      </w:pPr>
      <w:r>
        <w:separator/>
      </w:r>
    </w:p>
  </w:footnote>
  <w:footnote w:type="continuationSeparator" w:id="0">
    <w:p w14:paraId="79E31B5F" w14:textId="77777777" w:rsidR="009509C8" w:rsidRDefault="009509C8" w:rsidP="00AB2E87">
      <w:pPr>
        <w:spacing w:after="0" w:line="240" w:lineRule="auto"/>
      </w:pPr>
      <w:r>
        <w:continuationSeparator/>
      </w:r>
    </w:p>
  </w:footnote>
  <w:footnote w:id="1">
    <w:p w14:paraId="6BF6FCAB" w14:textId="77777777" w:rsidR="00AB2E87" w:rsidRPr="00C6455D" w:rsidRDefault="00AB2E87" w:rsidP="00AB2E87">
      <w:pPr>
        <w:pStyle w:val="Notedebasdepage"/>
        <w:jc w:val="both"/>
        <w:rPr>
          <w:color w:val="000000"/>
        </w:rPr>
      </w:pPr>
      <w:r w:rsidRPr="00C6455D">
        <w:rPr>
          <w:rStyle w:val="Appelnotedebasdep"/>
          <w:color w:val="000000"/>
        </w:rPr>
        <w:footnoteRef/>
      </w:r>
      <w:r w:rsidRPr="00C6455D">
        <w:rPr>
          <w:color w:val="000000"/>
        </w:rPr>
        <w:t xml:space="preserve"> </w:t>
      </w:r>
      <w:proofErr w:type="spellStart"/>
      <w:r w:rsidRPr="00C6455D">
        <w:rPr>
          <w:color w:val="000000"/>
        </w:rPr>
        <w:t>Independant</w:t>
      </w:r>
      <w:proofErr w:type="spellEnd"/>
      <w:r w:rsidRPr="00C6455D">
        <w:rPr>
          <w:color w:val="000000"/>
        </w:rPr>
        <w:t xml:space="preserve"> Forensic Expert Group, ‘Statement on anal examinations in cases of alleged homosexuality’, Torture Volume 26, Number 2, 2016, p.86</w:t>
      </w:r>
    </w:p>
  </w:footnote>
  <w:footnote w:id="2">
    <w:p w14:paraId="7D482115" w14:textId="77777777" w:rsidR="00AB2E87" w:rsidRPr="00C6455D" w:rsidRDefault="00AB2E87" w:rsidP="00AB2E87">
      <w:pPr>
        <w:pStyle w:val="Notedebasdepage"/>
        <w:jc w:val="both"/>
        <w:rPr>
          <w:color w:val="000000"/>
          <w:lang w:val="fr-FR"/>
        </w:rPr>
      </w:pPr>
      <w:r w:rsidRPr="00C6455D">
        <w:rPr>
          <w:rStyle w:val="Appelnotedebasdep"/>
          <w:color w:val="000000"/>
        </w:rPr>
        <w:footnoteRef/>
      </w:r>
      <w:r w:rsidRPr="00C6455D">
        <w:rPr>
          <w:color w:val="000000"/>
          <w:lang w:val="fr-FR"/>
        </w:rPr>
        <w:t xml:space="preserve"> Comité contre la torture, Observations finales concernant le troisième rapport périodique de la Tunisie, CAT/C/TUN/CO/3, 10 juin 2016, para 42</w:t>
      </w:r>
    </w:p>
  </w:footnote>
  <w:footnote w:id="3">
    <w:p w14:paraId="532A114C" w14:textId="77777777" w:rsidR="00AB2E87" w:rsidRPr="00261EF9" w:rsidRDefault="00AB2E87" w:rsidP="00AB2E87">
      <w:pPr>
        <w:pStyle w:val="Notedebasdepage"/>
        <w:rPr>
          <w:rFonts w:ascii="Arial" w:hAnsi="Arial" w:cs="Arial"/>
          <w:sz w:val="18"/>
          <w:szCs w:val="18"/>
          <w:lang w:val="fr-FR"/>
        </w:rPr>
      </w:pPr>
      <w:r w:rsidRPr="00C6455D">
        <w:rPr>
          <w:rStyle w:val="Appelnotedebasdep"/>
          <w:color w:val="000000"/>
        </w:rPr>
        <w:footnoteRef/>
      </w:r>
      <w:r w:rsidRPr="00C6455D">
        <w:rPr>
          <w:color w:val="000000"/>
          <w:lang w:val="fr-FR"/>
        </w:rPr>
        <w:t xml:space="preserve"> Comité contre la torture, Observations finales concernant le troisième rapport périodique de la Tunisie, para 41</w:t>
      </w:r>
    </w:p>
  </w:footnote>
  <w:footnote w:id="4">
    <w:p w14:paraId="0FE67564" w14:textId="77777777" w:rsidR="00AB2E87" w:rsidRPr="001B67A7" w:rsidRDefault="00AB2E87" w:rsidP="00AB2E87">
      <w:pPr>
        <w:pStyle w:val="Notedebasdepage"/>
        <w:jc w:val="both"/>
        <w:rPr>
          <w:rFonts w:eastAsia="Aptos"/>
          <w:color w:val="000000"/>
          <w:kern w:val="2"/>
          <w:lang w:val="fr-FR"/>
          <w14:ligatures w14:val="standardContextual"/>
        </w:rPr>
      </w:pPr>
      <w:r w:rsidRPr="001B67A7">
        <w:rPr>
          <w:rStyle w:val="Appelnotedebasdep"/>
          <w:color w:val="000000"/>
        </w:rPr>
        <w:footnoteRef/>
      </w:r>
      <w:r w:rsidRPr="001B67A7">
        <w:rPr>
          <w:color w:val="000000"/>
          <w:lang w:val="fr-FR"/>
        </w:rPr>
        <w:t xml:space="preserve"> </w:t>
      </w:r>
      <w:r w:rsidRPr="001B67A7">
        <w:rPr>
          <w:rFonts w:eastAsia="Aptos"/>
          <w:color w:val="000000"/>
          <w:kern w:val="2"/>
          <w:lang w:val="fr-FR"/>
          <w14:ligatures w14:val="standardContextual"/>
        </w:rPr>
        <w:t xml:space="preserve">Haut-Commissariat des Nations Unies aux droits de l’homme, </w:t>
      </w:r>
      <w:r w:rsidRPr="001B67A7">
        <w:rPr>
          <w:rFonts w:eastAsia="Aptos"/>
          <w:i/>
          <w:iCs/>
          <w:color w:val="000000"/>
          <w:kern w:val="2"/>
          <w:lang w:val="fr-FR"/>
          <w14:ligatures w14:val="standardContextual"/>
        </w:rPr>
        <w:t>Discrimination et violence à l’encontre de personnes en raison de leur orientation sexuelle et de leur identité de genre</w:t>
      </w:r>
      <w:r w:rsidRPr="001B67A7">
        <w:rPr>
          <w:rFonts w:eastAsia="Aptos"/>
          <w:color w:val="000000"/>
          <w:kern w:val="2"/>
          <w:lang w:val="fr-FR"/>
          <w14:ligatures w14:val="standardContextual"/>
        </w:rPr>
        <w:t>, 4 mai 2015, document ONU A/HRC/19/41, par. 37</w:t>
      </w:r>
    </w:p>
  </w:footnote>
  <w:footnote w:id="5">
    <w:p w14:paraId="17323C92" w14:textId="77777777" w:rsidR="00AB2E87" w:rsidRPr="001B67A7" w:rsidRDefault="00AB2E87" w:rsidP="00AB2E87">
      <w:pPr>
        <w:pStyle w:val="Notedebasdepage"/>
        <w:rPr>
          <w:rFonts w:eastAsia="Aptos"/>
          <w:color w:val="000000"/>
          <w:kern w:val="2"/>
          <w:lang w:val="fr-FR"/>
          <w14:ligatures w14:val="standardContextual"/>
        </w:rPr>
      </w:pPr>
      <w:r w:rsidRPr="001B67A7">
        <w:rPr>
          <w:rStyle w:val="Appelnotedebasdep"/>
          <w:color w:val="000000"/>
        </w:rPr>
        <w:footnoteRef/>
      </w:r>
      <w:r w:rsidRPr="001B67A7">
        <w:rPr>
          <w:color w:val="000000"/>
        </w:rPr>
        <w:t xml:space="preserve"> </w:t>
      </w:r>
      <w:r w:rsidRPr="001B67A7">
        <w:rPr>
          <w:rFonts w:eastAsia="Aptos"/>
          <w:color w:val="000000"/>
          <w:kern w:val="2"/>
          <w14:ligatures w14:val="standardContextual"/>
        </w:rPr>
        <w:t xml:space="preserve">UN Human Rights Council. Report of the Special Rapporteur on torture and other cruel, inhuman or degrading treatment or punishment, 5 January 2016. </w:t>
      </w:r>
      <w:r w:rsidRPr="001B67A7">
        <w:rPr>
          <w:rFonts w:eastAsia="Aptos"/>
          <w:color w:val="000000"/>
          <w:kern w:val="2"/>
          <w:lang w:val="fr-FR"/>
          <w14:ligatures w14:val="standardContextual"/>
        </w:rPr>
        <w:t>UN doc A/HRC/31/57</w:t>
      </w:r>
    </w:p>
  </w:footnote>
  <w:footnote w:id="6">
    <w:p w14:paraId="7D4A6C33" w14:textId="77777777" w:rsidR="00AB2E87" w:rsidRPr="001B67A7" w:rsidRDefault="00AB2E87" w:rsidP="00AB2E87">
      <w:pPr>
        <w:pStyle w:val="Notedebasdepage"/>
        <w:rPr>
          <w:color w:val="000000"/>
          <w:lang w:val="fr-FR"/>
        </w:rPr>
      </w:pPr>
      <w:r w:rsidRPr="001B67A7">
        <w:rPr>
          <w:rStyle w:val="Appelnotedebasdep"/>
          <w:color w:val="000000"/>
        </w:rPr>
        <w:footnoteRef/>
      </w:r>
      <w:r w:rsidRPr="001B67A7">
        <w:rPr>
          <w:color w:val="000000"/>
          <w:lang w:val="fr-FR"/>
        </w:rPr>
        <w:t xml:space="preserve"> BELHADJ Soumaya et FERCHICHI Wahid, « L’affaire 230 » - La justice face à l’homosexualité, ADLI, I, étude réalisée dans le cadre du projet </w:t>
      </w:r>
      <w:proofErr w:type="spellStart"/>
      <w:r w:rsidRPr="001B67A7">
        <w:rPr>
          <w:color w:val="000000"/>
          <w:lang w:val="fr-FR"/>
        </w:rPr>
        <w:t>Twensa</w:t>
      </w:r>
      <w:proofErr w:type="spellEnd"/>
      <w:r w:rsidRPr="001B67A7">
        <w:rPr>
          <w:color w:val="000000"/>
          <w:lang w:val="fr-FR"/>
        </w:rPr>
        <w:t xml:space="preserve"> </w:t>
      </w:r>
      <w:proofErr w:type="spellStart"/>
      <w:r w:rsidRPr="001B67A7">
        <w:rPr>
          <w:color w:val="000000"/>
          <w:lang w:val="fr-FR"/>
        </w:rPr>
        <w:t>Kikfom</w:t>
      </w:r>
      <w:proofErr w:type="spellEnd"/>
      <w:r w:rsidRPr="001B67A7">
        <w:rPr>
          <w:color w:val="000000"/>
          <w:lang w:val="fr-FR"/>
        </w:rPr>
        <w:t>, Avocats sans frontières, mai 2023, p.13</w:t>
      </w:r>
    </w:p>
  </w:footnote>
  <w:footnote w:id="7">
    <w:p w14:paraId="2B25E574" w14:textId="77777777" w:rsidR="00AB2E87" w:rsidRPr="001B67A7" w:rsidRDefault="00AB2E87" w:rsidP="00AB2E87">
      <w:pPr>
        <w:pStyle w:val="Notedebasdepage"/>
        <w:rPr>
          <w:color w:val="000000"/>
          <w:lang w:val="fr-FR"/>
        </w:rPr>
      </w:pPr>
      <w:r w:rsidRPr="001B67A7">
        <w:rPr>
          <w:rStyle w:val="Appelnotedebasdep"/>
          <w:color w:val="000000"/>
        </w:rPr>
        <w:footnoteRef/>
      </w:r>
      <w:r w:rsidRPr="001B67A7">
        <w:rPr>
          <w:color w:val="000000"/>
          <w:lang w:val="fr-FR"/>
        </w:rPr>
        <w:t xml:space="preserve"> </w:t>
      </w:r>
      <w:proofErr w:type="spellStart"/>
      <w:r w:rsidRPr="001B67A7">
        <w:rPr>
          <w:i/>
          <w:iCs/>
          <w:color w:val="000000"/>
          <w:lang w:val="fr-FR"/>
        </w:rPr>
        <w:t>Ibid</w:t>
      </w:r>
      <w:proofErr w:type="spellEnd"/>
    </w:p>
  </w:footnote>
  <w:footnote w:id="8">
    <w:p w14:paraId="67E04F9B" w14:textId="77777777" w:rsidR="00AB2E87" w:rsidRPr="00E20148" w:rsidRDefault="00AB2E87" w:rsidP="00AB2E87">
      <w:pPr>
        <w:pStyle w:val="Notedebasdepage"/>
        <w:jc w:val="both"/>
        <w:rPr>
          <w:rFonts w:ascii="Arial" w:hAnsi="Arial" w:cs="Arial"/>
          <w:sz w:val="18"/>
          <w:szCs w:val="18"/>
          <w:lang w:val="fr-FR"/>
        </w:rPr>
      </w:pPr>
      <w:r w:rsidRPr="001B67A7">
        <w:rPr>
          <w:rStyle w:val="Appelnotedebasdep"/>
          <w:color w:val="000000"/>
        </w:rPr>
        <w:footnoteRef/>
      </w:r>
      <w:r w:rsidRPr="001B67A7">
        <w:rPr>
          <w:color w:val="000000"/>
          <w:lang w:val="fr-FR"/>
        </w:rPr>
        <w:t xml:space="preserve"> Conseil des droits de l’Homme, Rapport du Haut-Commissariat aux droits de l’Homme, Discrimination et violence à l’encontre des personnes en raison de leur orientation sexuelle et de leur identité de genre, A/HCR/29/23, 4 mai 2015, para 13</w:t>
      </w:r>
    </w:p>
  </w:footnote>
  <w:footnote w:id="9">
    <w:p w14:paraId="235ADD8E" w14:textId="77777777" w:rsidR="00AB2E87" w:rsidRPr="001B67A7" w:rsidRDefault="00AB2E87" w:rsidP="00AB2E87">
      <w:pPr>
        <w:pStyle w:val="Notedebasdepage"/>
        <w:rPr>
          <w:color w:val="000000"/>
          <w:lang w:val="fr-FR"/>
        </w:rPr>
      </w:pPr>
      <w:r w:rsidRPr="001B67A7">
        <w:rPr>
          <w:rStyle w:val="Appelnotedebasdep"/>
          <w:color w:val="000000"/>
        </w:rPr>
        <w:footnoteRef/>
      </w:r>
      <w:r w:rsidRPr="001B67A7">
        <w:rPr>
          <w:color w:val="000000"/>
          <w:lang w:val="fr-FR"/>
        </w:rPr>
        <w:t xml:space="preserve"> Groupe de travail des Nations Unies sur la détention arbitraire, A/HRC/16/47/Add.1, avis n° 25/2009 (Égypte), paragraphes 24, 28-29, 24 novembre 2009</w:t>
      </w:r>
    </w:p>
  </w:footnote>
  <w:footnote w:id="10">
    <w:p w14:paraId="6FF247CE" w14:textId="77777777" w:rsidR="00AB2E87" w:rsidRPr="001B67A7" w:rsidRDefault="00AB2E87" w:rsidP="00AB2E87">
      <w:pPr>
        <w:pStyle w:val="Notedebasdepage"/>
        <w:rPr>
          <w:color w:val="000000"/>
          <w:lang w:val="fr-FR"/>
        </w:rPr>
      </w:pPr>
      <w:r w:rsidRPr="001B67A7">
        <w:rPr>
          <w:rStyle w:val="Appelnotedebasdep"/>
          <w:color w:val="000000"/>
        </w:rPr>
        <w:footnoteRef/>
      </w:r>
      <w:r w:rsidRPr="001B67A7">
        <w:rPr>
          <w:color w:val="000000"/>
          <w:lang w:val="fr-FR"/>
        </w:rPr>
        <w:t xml:space="preserve"> Association médicale mondiale, Déclaration de Genève</w:t>
      </w:r>
    </w:p>
  </w:footnote>
  <w:footnote w:id="11">
    <w:p w14:paraId="3CB9A505" w14:textId="77777777" w:rsidR="00AB2E87" w:rsidRPr="00C74FF5" w:rsidRDefault="00AB2E87" w:rsidP="00AB2E87">
      <w:pPr>
        <w:pStyle w:val="Notedebasdepage"/>
        <w:jc w:val="both"/>
        <w:rPr>
          <w:rFonts w:ascii="Arial" w:hAnsi="Arial" w:cs="Arial"/>
          <w:sz w:val="18"/>
          <w:szCs w:val="18"/>
          <w:lang w:val="fr-FR"/>
        </w:rPr>
      </w:pPr>
      <w:r w:rsidRPr="001B67A7">
        <w:rPr>
          <w:rStyle w:val="Appelnotedebasdep"/>
          <w:color w:val="000000"/>
        </w:rPr>
        <w:footnoteRef/>
      </w:r>
      <w:r w:rsidRPr="001B67A7">
        <w:rPr>
          <w:color w:val="000000"/>
          <w:lang w:val="fr-FR"/>
        </w:rPr>
        <w:t xml:space="preserve"> Principes d’éthique médicale applicables au rôle du personnel de santé, en particulier des médecins, dans la protection des prisonniers et des détenus contre la torture et autres peines ou traitements cruels, inhumains ou dégradants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B08E7"/>
    <w:multiLevelType w:val="multilevel"/>
    <w:tmpl w:val="7DB6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D374C"/>
    <w:multiLevelType w:val="hybridMultilevel"/>
    <w:tmpl w:val="17B00E2A"/>
    <w:lvl w:ilvl="0" w:tplc="A7C4754A">
      <w:start w:val="2"/>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6EC54AA"/>
    <w:multiLevelType w:val="hybridMultilevel"/>
    <w:tmpl w:val="695C8624"/>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7B92543"/>
    <w:multiLevelType w:val="hybridMultilevel"/>
    <w:tmpl w:val="C6682508"/>
    <w:lvl w:ilvl="0" w:tplc="EF66AA6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7C14EBF"/>
    <w:multiLevelType w:val="hybridMultilevel"/>
    <w:tmpl w:val="986838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8231ACC"/>
    <w:multiLevelType w:val="hybridMultilevel"/>
    <w:tmpl w:val="48DCB408"/>
    <w:lvl w:ilvl="0" w:tplc="074080B4">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46A7E31"/>
    <w:multiLevelType w:val="hybridMultilevel"/>
    <w:tmpl w:val="478293DA"/>
    <w:lvl w:ilvl="0" w:tplc="F7AC2740">
      <w:start w:val="3"/>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A0031A6"/>
    <w:multiLevelType w:val="hybridMultilevel"/>
    <w:tmpl w:val="475296C2"/>
    <w:lvl w:ilvl="0" w:tplc="63088A12">
      <w:start w:val="7"/>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69957932">
    <w:abstractNumId w:val="3"/>
  </w:num>
  <w:num w:numId="2" w16cid:durableId="1789927523">
    <w:abstractNumId w:val="4"/>
  </w:num>
  <w:num w:numId="3" w16cid:durableId="1127160341">
    <w:abstractNumId w:val="1"/>
  </w:num>
  <w:num w:numId="4" w16cid:durableId="1755277427">
    <w:abstractNumId w:val="0"/>
  </w:num>
  <w:num w:numId="5" w16cid:durableId="2007632028">
    <w:abstractNumId w:val="6"/>
  </w:num>
  <w:num w:numId="6" w16cid:durableId="1668944661">
    <w:abstractNumId w:val="5"/>
  </w:num>
  <w:num w:numId="7" w16cid:durableId="386345270">
    <w:abstractNumId w:val="2"/>
  </w:num>
  <w:num w:numId="8" w16cid:durableId="641496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C1"/>
    <w:rsid w:val="00175491"/>
    <w:rsid w:val="001B0D37"/>
    <w:rsid w:val="001B1115"/>
    <w:rsid w:val="001B67A7"/>
    <w:rsid w:val="00216E5D"/>
    <w:rsid w:val="00255F2B"/>
    <w:rsid w:val="002F0431"/>
    <w:rsid w:val="003A5C5C"/>
    <w:rsid w:val="003E7E77"/>
    <w:rsid w:val="00452E91"/>
    <w:rsid w:val="004D5160"/>
    <w:rsid w:val="005539B2"/>
    <w:rsid w:val="00602D1A"/>
    <w:rsid w:val="00774A66"/>
    <w:rsid w:val="00784C39"/>
    <w:rsid w:val="007C6579"/>
    <w:rsid w:val="0081360E"/>
    <w:rsid w:val="008552A3"/>
    <w:rsid w:val="00881352"/>
    <w:rsid w:val="008A23AD"/>
    <w:rsid w:val="009509C8"/>
    <w:rsid w:val="009C0510"/>
    <w:rsid w:val="009F1794"/>
    <w:rsid w:val="00A81ABA"/>
    <w:rsid w:val="00A82753"/>
    <w:rsid w:val="00AB2E87"/>
    <w:rsid w:val="00B868EC"/>
    <w:rsid w:val="00BD1C6B"/>
    <w:rsid w:val="00C6455D"/>
    <w:rsid w:val="00C852C1"/>
    <w:rsid w:val="00C90FEF"/>
    <w:rsid w:val="00D10C6B"/>
    <w:rsid w:val="00D46450"/>
    <w:rsid w:val="00DA123F"/>
    <w:rsid w:val="00DA2ACB"/>
    <w:rsid w:val="00DB26EF"/>
    <w:rsid w:val="00DD183B"/>
    <w:rsid w:val="00E01398"/>
    <w:rsid w:val="00E26B55"/>
    <w:rsid w:val="00F77847"/>
    <w:rsid w:val="00F951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50334"/>
  <w15:chartTrackingRefBased/>
  <w15:docId w15:val="{6F1D31DC-B0F3-4A00-AE3F-B958D70C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85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85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852C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852C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852C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852C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852C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852C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852C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852C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852C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852C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852C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852C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852C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852C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852C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852C1"/>
    <w:rPr>
      <w:rFonts w:eastAsiaTheme="majorEastAsia" w:cstheme="majorBidi"/>
      <w:color w:val="272727" w:themeColor="text1" w:themeTint="D8"/>
    </w:rPr>
  </w:style>
  <w:style w:type="paragraph" w:styleId="Titre">
    <w:name w:val="Title"/>
    <w:basedOn w:val="Normal"/>
    <w:next w:val="Normal"/>
    <w:link w:val="TitreCar"/>
    <w:uiPriority w:val="10"/>
    <w:qFormat/>
    <w:rsid w:val="00C85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852C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852C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852C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852C1"/>
    <w:pPr>
      <w:spacing w:before="160"/>
      <w:jc w:val="center"/>
    </w:pPr>
    <w:rPr>
      <w:i/>
      <w:iCs/>
      <w:color w:val="404040" w:themeColor="text1" w:themeTint="BF"/>
    </w:rPr>
  </w:style>
  <w:style w:type="character" w:customStyle="1" w:styleId="CitationCar">
    <w:name w:val="Citation Car"/>
    <w:basedOn w:val="Policepardfaut"/>
    <w:link w:val="Citation"/>
    <w:uiPriority w:val="29"/>
    <w:rsid w:val="00C852C1"/>
    <w:rPr>
      <w:i/>
      <w:iCs/>
      <w:color w:val="404040" w:themeColor="text1" w:themeTint="BF"/>
    </w:rPr>
  </w:style>
  <w:style w:type="paragraph" w:styleId="Paragraphedeliste">
    <w:name w:val="List Paragraph"/>
    <w:basedOn w:val="Normal"/>
    <w:uiPriority w:val="34"/>
    <w:qFormat/>
    <w:rsid w:val="00C852C1"/>
    <w:pPr>
      <w:ind w:left="720"/>
      <w:contextualSpacing/>
    </w:pPr>
  </w:style>
  <w:style w:type="character" w:styleId="Accentuationintense">
    <w:name w:val="Intense Emphasis"/>
    <w:basedOn w:val="Policepardfaut"/>
    <w:uiPriority w:val="21"/>
    <w:qFormat/>
    <w:rsid w:val="00C852C1"/>
    <w:rPr>
      <w:i/>
      <w:iCs/>
      <w:color w:val="0F4761" w:themeColor="accent1" w:themeShade="BF"/>
    </w:rPr>
  </w:style>
  <w:style w:type="paragraph" w:styleId="Citationintense">
    <w:name w:val="Intense Quote"/>
    <w:basedOn w:val="Normal"/>
    <w:next w:val="Normal"/>
    <w:link w:val="CitationintenseCar"/>
    <w:uiPriority w:val="30"/>
    <w:qFormat/>
    <w:rsid w:val="00C85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852C1"/>
    <w:rPr>
      <w:i/>
      <w:iCs/>
      <w:color w:val="0F4761" w:themeColor="accent1" w:themeShade="BF"/>
    </w:rPr>
  </w:style>
  <w:style w:type="character" w:styleId="Rfrenceintense">
    <w:name w:val="Intense Reference"/>
    <w:basedOn w:val="Policepardfaut"/>
    <w:uiPriority w:val="32"/>
    <w:qFormat/>
    <w:rsid w:val="00C852C1"/>
    <w:rPr>
      <w:b/>
      <w:bCs/>
      <w:smallCaps/>
      <w:color w:val="0F4761" w:themeColor="accent1" w:themeShade="BF"/>
      <w:spacing w:val="5"/>
    </w:rPr>
  </w:style>
  <w:style w:type="paragraph" w:styleId="Notedebasdepage">
    <w:name w:val="footnote text"/>
    <w:basedOn w:val="Normal"/>
    <w:link w:val="NotedebasdepageCar"/>
    <w:rsid w:val="00AB2E87"/>
    <w:pPr>
      <w:suppressAutoHyphens/>
      <w:autoSpaceDN w:val="0"/>
      <w:spacing w:after="0" w:line="240" w:lineRule="auto"/>
      <w:textAlignment w:val="baseline"/>
    </w:pPr>
    <w:rPr>
      <w:rFonts w:ascii="Times New Roman" w:eastAsia="Times New Roman" w:hAnsi="Times New Roman" w:cs="Times New Roman"/>
      <w:kern w:val="0"/>
      <w:sz w:val="20"/>
      <w:szCs w:val="20"/>
      <w:lang w:val="en-GB"/>
      <w14:ligatures w14:val="none"/>
    </w:rPr>
  </w:style>
  <w:style w:type="character" w:customStyle="1" w:styleId="NotedebasdepageCar">
    <w:name w:val="Note de bas de page Car"/>
    <w:basedOn w:val="Policepardfaut"/>
    <w:link w:val="Notedebasdepage"/>
    <w:rsid w:val="00AB2E87"/>
    <w:rPr>
      <w:rFonts w:ascii="Times New Roman" w:eastAsia="Times New Roman" w:hAnsi="Times New Roman" w:cs="Times New Roman"/>
      <w:kern w:val="0"/>
      <w:sz w:val="20"/>
      <w:szCs w:val="20"/>
      <w:lang w:val="en-GB"/>
      <w14:ligatures w14:val="none"/>
    </w:rPr>
  </w:style>
  <w:style w:type="character" w:styleId="Appelnotedebasdep">
    <w:name w:val="footnote reference"/>
    <w:basedOn w:val="Policepardfaut"/>
    <w:rsid w:val="00AB2E87"/>
    <w:rPr>
      <w:position w:val="0"/>
      <w:vertAlign w:val="superscript"/>
    </w:rPr>
  </w:style>
  <w:style w:type="paragraph" w:styleId="NormalWeb">
    <w:name w:val="Normal (Web)"/>
    <w:basedOn w:val="Normal"/>
    <w:uiPriority w:val="99"/>
    <w:semiHidden/>
    <w:unhideWhenUsed/>
    <w:rsid w:val="00E0139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293</TotalTime>
  <Pages>10</Pages>
  <Words>4097</Words>
  <Characters>22535</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Cls</dc:creator>
  <cp:keywords/>
  <dc:description/>
  <cp:lastModifiedBy>Sophie Cls</cp:lastModifiedBy>
  <cp:revision>46</cp:revision>
  <dcterms:created xsi:type="dcterms:W3CDTF">2025-07-28T09:29:00Z</dcterms:created>
  <dcterms:modified xsi:type="dcterms:W3CDTF">2025-07-28T14:44:00Z</dcterms:modified>
</cp:coreProperties>
</file>